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120" w:after="288"/>
        <w:jc w:val="center"/>
        <w:rPr>
          <w:rFonts w:ascii="Arial" w:hAnsi="Arial" w:cs="Arial"/>
          <w:b/>
          <w:b/>
          <w:bCs/>
          <w:color w:val="000000" w:themeColor="text1"/>
          <w:sz w:val="20"/>
          <w:szCs w:val="20"/>
        </w:rPr>
      </w:pPr>
      <w:r>
        <w:rPr>
          <w:rFonts w:cs="Arial" w:ascii="Arial" w:hAnsi="Arial"/>
          <w:b/>
          <w:bCs/>
          <w:color w:val="000000" w:themeColor="text1"/>
          <w:sz w:val="20"/>
          <w:szCs w:val="20"/>
        </w:rPr>
        <w:t>TERMO DE CONTRATO</w:t>
        <w:br/>
        <w:t>Lei nº 14.133, de 1º de abril de 2021</w:t>
        <w:br/>
        <w:t xml:space="preserve">SERVIÇOS </w:t>
      </w:r>
      <w:r>
        <w:rPr>
          <w:rFonts w:cs="Arial" w:ascii="Arial" w:hAnsi="Arial"/>
          <w:b/>
          <w:bCs/>
          <w:color w:val="000000" w:themeColor="text1"/>
          <w:sz w:val="20"/>
          <w:szCs w:val="20"/>
          <w:shd w:fill="auto" w:val="clear"/>
        </w:rPr>
        <w:t>DE ENGENHARIA</w:t>
      </w:r>
      <w:r>
        <w:rPr>
          <w:rFonts w:cs="Arial" w:ascii="Arial" w:hAnsi="Arial"/>
          <w:b/>
          <w:bCs/>
          <w:color w:val="000000" w:themeColor="text1"/>
          <w:sz w:val="20"/>
          <w:szCs w:val="20"/>
        </w:rPr>
        <w:t xml:space="preserve"> – LICITAÇÃO</w:t>
      </w:r>
    </w:p>
    <w:p>
      <w:pPr>
        <w:pStyle w:val="Normal"/>
        <w:spacing w:lineRule="auto" w:line="276" w:before="120" w:after="288"/>
        <w:ind w:firstLine="709"/>
        <w:jc w:val="center"/>
        <w:rPr>
          <w:rFonts w:ascii="Arial" w:hAnsi="Arial" w:cs="Arial"/>
          <w:b/>
          <w:b/>
          <w:bCs/>
          <w:color w:val="000000" w:themeColor="text1"/>
          <w:sz w:val="20"/>
          <w:szCs w:val="20"/>
        </w:rPr>
      </w:pPr>
      <w:r>
        <w:rPr>
          <w:rFonts w:cs="Arial" w:ascii="Arial" w:hAnsi="Arial"/>
          <w:b/>
          <w:bCs/>
          <w:color w:val="000000" w:themeColor="text1"/>
          <w:sz w:val="20"/>
          <w:szCs w:val="20"/>
        </w:rPr>
      </w:r>
    </w:p>
    <w:p>
      <w:pPr>
        <w:pStyle w:val="Xl28"/>
        <w:spacing w:lineRule="auto" w:line="360" w:before="0" w:after="0"/>
        <w:jc w:val="center"/>
        <w:rPr>
          <w:rFonts w:ascii="Arial" w:hAnsi="Arial" w:eastAsia="Times New Roman" w:cs="Arial"/>
          <w:bCs w:val="false"/>
          <w:sz w:val="22"/>
          <w:szCs w:val="22"/>
          <w:lang w:val="pt-PT"/>
        </w:rPr>
      </w:pPr>
      <w:r>
        <w:rPr>
          <w:rFonts w:eastAsia="Times New Roman" w:cs="Arial"/>
          <w:bCs w:val="false"/>
          <w:sz w:val="22"/>
          <w:szCs w:val="22"/>
          <w:lang w:val="pt-PT"/>
        </w:rPr>
        <w:t>MINUTA DE CONTRATO Nº _____/2026</w:t>
      </w:r>
    </w:p>
    <w:p>
      <w:pPr>
        <w:pStyle w:val="Xl28"/>
        <w:spacing w:lineRule="auto" w:line="360" w:before="0" w:after="0"/>
        <w:jc w:val="center"/>
        <w:rPr>
          <w:rFonts w:ascii="Arial" w:hAnsi="Arial" w:eastAsia="Times New Roman" w:cs="Arial"/>
          <w:bCs w:val="false"/>
          <w:sz w:val="22"/>
          <w:szCs w:val="22"/>
          <w:lang w:val="pt-PT"/>
        </w:rPr>
      </w:pPr>
      <w:r>
        <w:rPr>
          <w:rFonts w:eastAsia="Times New Roman" w:cs="Arial"/>
          <w:bCs w:val="false"/>
          <w:sz w:val="22"/>
          <w:szCs w:val="22"/>
          <w:lang w:val="pt-PT"/>
        </w:rPr>
      </w:r>
    </w:p>
    <w:p>
      <w:pPr>
        <w:pStyle w:val="Xl28"/>
        <w:spacing w:lineRule="auto" w:line="360" w:before="0" w:after="0"/>
        <w:jc w:val="left"/>
        <w:rPr>
          <w:rFonts w:ascii="Arial" w:hAnsi="Arial" w:eastAsia="Times New Roman" w:cs="Arial"/>
          <w:bCs/>
          <w:sz w:val="22"/>
          <w:szCs w:val="22"/>
          <w:lang w:val="pt-PT"/>
        </w:rPr>
      </w:pPr>
      <w:r>
        <w:rPr>
          <w:rFonts w:eastAsia="Times New Roman" w:cs="Arial"/>
          <w:bCs/>
          <w:sz w:val="22"/>
          <w:szCs w:val="22"/>
          <w:lang w:val="pt-PT"/>
        </w:rPr>
      </w:r>
    </w:p>
    <w:p>
      <w:pPr>
        <w:pStyle w:val="Normal"/>
        <w:spacing w:lineRule="auto" w:line="360" w:before="120" w:after="288"/>
        <w:ind w:left="4248" w:right="0" w:hanging="0"/>
        <w:jc w:val="center"/>
        <w:rPr>
          <w:rFonts w:ascii="Arial" w:hAnsi="Arial" w:cs="Arial"/>
          <w:b/>
          <w:b/>
          <w:i/>
          <w:i/>
          <w:color w:val="auto"/>
          <w:sz w:val="22"/>
          <w:szCs w:val="22"/>
        </w:rPr>
      </w:pPr>
      <w:r>
        <w:rPr>
          <w:rFonts w:cs="Arial" w:ascii="Arial" w:hAnsi="Arial"/>
          <w:b/>
          <w:i/>
          <w:color w:val="auto"/>
          <w:sz w:val="20"/>
          <w:szCs w:val="20"/>
        </w:rPr>
        <w:t>CONTRATO QUE ENTRE SI CELEBRAM O MUNICÍPIO DE QUISSAMÃ E A EMPRESA:</w:t>
      </w:r>
      <w:r>
        <w:rPr>
          <w:rFonts w:cs="Arial" w:ascii="Arial" w:hAnsi="Arial"/>
          <w:b/>
          <w:i/>
          <w:color w:val="auto"/>
          <w:sz w:val="22"/>
          <w:szCs w:val="22"/>
        </w:rPr>
        <w:t xml:space="preserve">   ___________________________________________</w:t>
      </w:r>
    </w:p>
    <w:p>
      <w:pPr>
        <w:pStyle w:val="Normal"/>
        <w:spacing w:lineRule="auto" w:line="276" w:before="120" w:after="288"/>
        <w:ind w:firstLine="709"/>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360" w:before="120" w:after="120"/>
        <w:ind w:right="-170" w:hanging="0"/>
        <w:jc w:val="both"/>
        <w:rPr>
          <w:bCs w:val="false"/>
        </w:rPr>
      </w:pPr>
      <w:r>
        <w:rPr>
          <w:rFonts w:eastAsia="Tahoma" w:cs="Arial" w:ascii="Arial" w:hAnsi="Arial"/>
          <w:b w:val="false"/>
          <w:bCs w:val="false"/>
          <w:color w:val="000000"/>
          <w:sz w:val="22"/>
          <w:szCs w:val="22"/>
          <w:shd w:fill="auto" w:val="clear"/>
        </w:rPr>
        <w:t xml:space="preserve">MUNICÍPIO DE QUISSAMÃ –  </w:t>
      </w:r>
      <w:r>
        <w:rPr>
          <w:rFonts w:eastAsia="Courier New" w:cs="Arial" w:ascii="Arial" w:hAnsi="Arial"/>
          <w:b w:val="false"/>
          <w:bCs w:val="false"/>
          <w:color w:val="000000"/>
          <w:kern w:val="2"/>
          <w:sz w:val="22"/>
          <w:szCs w:val="22"/>
          <w:shd w:fill="auto" w:val="clear"/>
          <w:lang w:val="pt-BR" w:eastAsia="zh-CN" w:bidi="ar-SA"/>
        </w:rPr>
        <w:t xml:space="preserve">pessoa jurídica de direito público, com sede na Prefeitura Municipal de Quissamã, situada à Rua Conde de Araruama, nº 425, Centro, Quissamã/RJ, CEP: 28.735-000, </w:t>
      </w:r>
      <w:r>
        <w:rPr>
          <w:rFonts w:eastAsia="Courier New" w:cs="Arial" w:ascii="Arial" w:hAnsi="Arial"/>
          <w:b w:val="false"/>
          <w:bCs w:val="false"/>
          <w:i w:val="false"/>
          <w:iCs w:val="false"/>
          <w:color w:val="000000"/>
          <w:kern w:val="2"/>
          <w:sz w:val="22"/>
          <w:szCs w:val="22"/>
          <w:shd w:fill="auto" w:val="clear"/>
          <w:lang w:val="pt-BR" w:eastAsia="zh-CN" w:bidi="ar-SA"/>
        </w:rPr>
        <w:t>através do FUNDO MUNICIPAL DE DESENVOLVIMENTO ECONÔMICO, inscrito(a) no CNPJ sob o nº 24.413.538/0001-96, neste ato representado</w:t>
      </w:r>
      <w:r>
        <w:rPr>
          <w:rFonts w:eastAsia="Courier New" w:cs="Arial" w:ascii="Arial" w:hAnsi="Arial"/>
          <w:b w:val="false"/>
          <w:bCs w:val="false"/>
          <w:i w:val="false"/>
          <w:iCs w:val="false"/>
          <w:color w:val="000000"/>
          <w:kern w:val="2"/>
          <w:sz w:val="22"/>
          <w:szCs w:val="22"/>
          <w:u w:val="none"/>
          <w:shd w:fill="auto" w:val="clear"/>
          <w:lang w:val="pt-BR" w:eastAsia="zh-CN" w:bidi="ar-SA"/>
        </w:rPr>
        <w:t xml:space="preserve"> pelo Gestor do Fundo Municipal de Desenvolvimento Econômico, Sr. Arnaldo Gonçalves da Silva de Queirós Mattoso, nomeado pela Portaria nº 25.315/2025 de 06 de janeiro de 2025, publicada no D.O.Q. de 07 de janeiro de 2025, portador da matrícula funcional nº 9029</w:t>
      </w:r>
      <w:r>
        <w:rPr>
          <w:rFonts w:eastAsia="Tahoma" w:cs="Arial" w:ascii="Arial" w:hAnsi="Arial"/>
          <w:b w:val="false"/>
          <w:bCs w:val="false"/>
          <w:color w:val="000000"/>
          <w:sz w:val="22"/>
          <w:szCs w:val="22"/>
          <w:shd w:fill="auto" w:val="clear"/>
        </w:rPr>
        <w:t xml:space="preserve">, e pelo Chefe de Gabinete do Prefeito, Sr. Márcio Fernandes da Silva, nomeado pela Portaria nº 25.291/2025, de 02 de janeiro de 2025, publicada no D.O.Q. de 02 de janeiro de 2025, portador da Matrícula Funcional nº 9033-6, </w:t>
      </w:r>
      <w:r>
        <w:rPr>
          <w:rFonts w:cs="Arial" w:ascii="Arial" w:hAnsi="Arial"/>
          <w:bCs w:val="false"/>
          <w:color w:val="auto"/>
          <w:sz w:val="22"/>
          <w:szCs w:val="22"/>
        </w:rPr>
        <w:t>doravante denominado CONTRATANTE, e a empresa ______________________________________________ inscrito(a) no CNPJ/MF sob o nº ____________________, sediado(a) na ____________________, em ________________________ doravante designado CONTRATADO, neste ato representada por ______________________________</w:t>
      </w:r>
      <w:r>
        <w:rPr>
          <w:rFonts w:cs="Arial" w:ascii="Arial" w:hAnsi="Arial"/>
          <w:bCs w:val="false"/>
          <w:color w:val="auto"/>
          <w:sz w:val="22"/>
          <w:szCs w:val="22"/>
          <w:u w:val="none"/>
        </w:rPr>
        <w:t>_________ função __________________________________</w:t>
      </w:r>
      <w:r>
        <w:rPr>
          <w:rFonts w:cs="Arial" w:ascii="Arial" w:hAnsi="Arial"/>
          <w:bCs w:val="false"/>
          <w:color w:val="auto"/>
          <w:sz w:val="22"/>
          <w:szCs w:val="22"/>
        </w:rPr>
        <w:t xml:space="preserve">, </w:t>
      </w:r>
      <w:r>
        <w:rPr>
          <w:rFonts w:cs="Arial" w:ascii="Arial" w:hAnsi="Arial"/>
          <w:bCs w:val="false"/>
          <w:i/>
          <w:color w:val="auto"/>
          <w:sz w:val="22"/>
          <w:szCs w:val="22"/>
        </w:rPr>
        <w:t>inscrita no Cadastro de Pessoa F</w:t>
      </w:r>
      <w:r>
        <w:rPr>
          <w:rFonts w:cs="Arial" w:ascii="Arial" w:hAnsi="Arial"/>
          <w:bCs w:val="false"/>
          <w:color w:val="auto"/>
          <w:sz w:val="22"/>
          <w:szCs w:val="22"/>
        </w:rPr>
        <w:t xml:space="preserve">ísica sob nº______________________ </w:t>
      </w:r>
      <w:r>
        <w:rPr>
          <w:rFonts w:eastAsia="Tahoma" w:cs="Arial" w:ascii="Arial" w:hAnsi="Arial"/>
          <w:bCs w:val="false"/>
          <w:color w:val="000000"/>
          <w:sz w:val="22"/>
          <w:szCs w:val="22"/>
          <w:shd w:fill="auto" w:val="clear"/>
        </w:rPr>
        <w:t>e no CREA/CAU com o nº ______________________,</w:t>
      </w:r>
      <w:r>
        <w:rPr>
          <w:rFonts w:cs="Arial" w:ascii="Arial" w:hAnsi="Arial"/>
          <w:bCs w:val="false"/>
          <w:color w:val="auto"/>
          <w:sz w:val="22"/>
          <w:szCs w:val="22"/>
        </w:rPr>
        <w:t xml:space="preserve"> tendo em vista o que consta no Processo Administrativo nº 10641/2025,  Requisição de Contratação nº: 303/2025 e em observância nos termos da Lei Federal 14.133/2021 - Normas Gerais de Licitação e Contratação Pública, com aplicação subsidiária, no que couber, dos Decretos Municipais nº 3841/2024; 3842/2024; 3845/2024; 4248/2025 e suas alterações, da Lei Complementar Federal nº 123/2006 e demais normas que compõem a legislação aplicável à licitações e contratações públicas e o Parecer da Procuradoria Geral do Município em fls.______, resolvem celebrar o presente Termo de Contrato, decorrente do </w:t>
      </w:r>
      <w:r>
        <w:rPr>
          <w:rFonts w:cs="Arial" w:ascii="Arial" w:hAnsi="Arial"/>
          <w:b/>
          <w:bCs/>
          <w:color w:val="auto"/>
          <w:sz w:val="22"/>
          <w:szCs w:val="22"/>
        </w:rPr>
        <w:t>PREGÃO ELETRÔNICO</w:t>
      </w:r>
      <w:r>
        <w:rPr>
          <w:rFonts w:cs="Arial" w:ascii="Arial" w:hAnsi="Arial"/>
          <w:b/>
          <w:bCs w:val="false"/>
          <w:color w:val="auto"/>
          <w:sz w:val="22"/>
          <w:szCs w:val="22"/>
        </w:rPr>
        <w:t xml:space="preserve"> Nº 019/2026</w:t>
      </w:r>
      <w:r>
        <w:rPr>
          <w:rFonts w:cs="Arial" w:ascii="Arial" w:hAnsi="Arial"/>
          <w:bCs w:val="false"/>
          <w:color w:val="auto"/>
          <w:sz w:val="22"/>
          <w:szCs w:val="22"/>
        </w:rPr>
        <w:t>, mediante as cláusulas e condições a seguir enunciadas.</w:t>
      </w:r>
    </w:p>
    <w:p>
      <w:pPr>
        <w:pStyle w:val="Normal"/>
        <w:spacing w:lineRule="auto" w:line="360" w:before="120" w:after="120"/>
        <w:ind w:right="-170" w:hanging="0"/>
        <w:jc w:val="both"/>
        <w:rPr>
          <w:bCs w:val="false"/>
        </w:rPr>
      </w:pPr>
      <w:r>
        <w:rPr>
          <w:bCs w:val="false"/>
        </w:rPr>
      </w:r>
    </w:p>
    <w:p>
      <w:pPr>
        <w:pStyle w:val="Nivel01"/>
        <w:spacing w:lineRule="auto" w:line="360" w:before="0" w:after="0"/>
        <w:ind w:left="0" w:hanging="0"/>
        <w:rPr>
          <w:sz w:val="22"/>
          <w:szCs w:val="22"/>
        </w:rPr>
      </w:pPr>
      <w:r>
        <w:rPr>
          <w:sz w:val="22"/>
          <w:szCs w:val="22"/>
        </w:rPr>
      </w:r>
    </w:p>
    <w:p>
      <w:pPr>
        <w:pStyle w:val="Nivel01"/>
        <w:spacing w:lineRule="auto" w:line="360" w:before="0" w:after="0"/>
        <w:ind w:left="0" w:hanging="0"/>
        <w:rPr/>
      </w:pPr>
      <w:r>
        <w:rPr>
          <w:sz w:val="22"/>
          <w:szCs w:val="22"/>
        </w:rPr>
        <w:t xml:space="preserve">CLÁUSULA PRIMEIRA – OBJETO </w:t>
      </w:r>
    </w:p>
    <w:p>
      <w:pPr>
        <w:pStyle w:val="Nivel01"/>
        <w:spacing w:lineRule="auto" w:line="360" w:before="0" w:after="0"/>
        <w:ind w:left="0" w:hanging="0"/>
        <w:rPr/>
      </w:pPr>
      <w:r>
        <w:rPr/>
      </w:r>
    </w:p>
    <w:p>
      <w:pPr>
        <w:pStyle w:val="Nivel01"/>
        <w:spacing w:lineRule="auto" w:line="360" w:before="0" w:after="0"/>
        <w:ind w:left="0" w:hanging="0"/>
        <w:rPr/>
      </w:pPr>
      <w:r>
        <w:rPr>
          <w:b/>
          <w:bCs/>
          <w:sz w:val="22"/>
          <w:szCs w:val="22"/>
        </w:rPr>
        <w:t xml:space="preserve">1.1. </w:t>
      </w:r>
      <w:r>
        <w:rPr>
          <w:rFonts w:eastAsia="Arial" w:cs="Arial"/>
          <w:b w:val="false"/>
          <w:bCs w:val="false"/>
          <w:sz w:val="22"/>
          <w:szCs w:val="22"/>
        </w:rPr>
        <w:t>Contratação de empresa para realizar serviços de instalações elétricas e montagem de uma subestação simplificada de 150KVA com um novo alimentador elétrico, para atender o Galpão na Zona Especial de Negócios (ZEN), localizado na RJ 196, Conde de Araruama, Quissamã-RJ</w:t>
      </w:r>
      <w:r>
        <w:rPr>
          <w:sz w:val="22"/>
          <w:szCs w:val="22"/>
        </w:rPr>
        <w:t xml:space="preserve">, </w:t>
      </w:r>
      <w:r>
        <w:rPr>
          <w:b w:val="false"/>
          <w:bCs w:val="false"/>
          <w:sz w:val="22"/>
          <w:szCs w:val="22"/>
        </w:rPr>
        <w:t>conforme especificado no Projeto Básico anexo ao Edital e que faz parte integrante e complementar do processo administrativo nº 10641/2025.</w:t>
      </w:r>
    </w:p>
    <w:p>
      <w:pPr>
        <w:pStyle w:val="Nivel2"/>
        <w:numPr>
          <w:ilvl w:val="0"/>
          <w:numId w:val="0"/>
        </w:numPr>
        <w:spacing w:before="6" w:after="6"/>
        <w:ind w:left="0" w:hanging="0"/>
        <w:rPr>
          <w:rFonts w:cs="Arial"/>
          <w:sz w:val="20"/>
          <w:szCs w:val="20"/>
        </w:rPr>
      </w:pPr>
      <w:r>
        <w:rPr>
          <w:rFonts w:cs="Arial"/>
          <w:sz w:val="20"/>
          <w:szCs w:val="20"/>
        </w:rPr>
      </w:r>
    </w:p>
    <w:p>
      <w:pPr>
        <w:pStyle w:val="Nivel2"/>
        <w:numPr>
          <w:ilvl w:val="0"/>
          <w:numId w:val="0"/>
        </w:numPr>
        <w:spacing w:lineRule="auto" w:line="360"/>
        <w:ind w:left="0" w:hanging="0"/>
        <w:rPr>
          <w:sz w:val="22"/>
          <w:szCs w:val="22"/>
        </w:rPr>
      </w:pPr>
      <w:r>
        <w:rPr>
          <w:b/>
          <w:bCs/>
          <w:sz w:val="22"/>
          <w:szCs w:val="22"/>
        </w:rPr>
        <w:t>1.2.</w:t>
      </w:r>
      <w:r>
        <w:rPr>
          <w:sz w:val="22"/>
          <w:szCs w:val="22"/>
        </w:rPr>
        <w:t xml:space="preserve"> Vinculam esta contratação, independentemente de transcrição:</w:t>
      </w:r>
    </w:p>
    <w:p>
      <w:pPr>
        <w:pStyle w:val="Nivel3"/>
        <w:numPr>
          <w:ilvl w:val="0"/>
          <w:numId w:val="0"/>
        </w:numPr>
        <w:spacing w:lineRule="auto" w:line="360"/>
        <w:ind w:left="284" w:hanging="0"/>
        <w:rPr>
          <w:sz w:val="22"/>
          <w:szCs w:val="22"/>
        </w:rPr>
      </w:pPr>
      <w:r>
        <w:rPr>
          <w:b/>
          <w:bCs/>
          <w:sz w:val="22"/>
          <w:szCs w:val="22"/>
        </w:rPr>
        <w:t xml:space="preserve">1.2.1. </w:t>
      </w:r>
      <w:r>
        <w:rPr>
          <w:sz w:val="22"/>
          <w:szCs w:val="22"/>
        </w:rPr>
        <w:t>O Projeto Básico;</w:t>
      </w:r>
    </w:p>
    <w:p>
      <w:pPr>
        <w:pStyle w:val="Nivel3"/>
        <w:numPr>
          <w:ilvl w:val="0"/>
          <w:numId w:val="0"/>
        </w:numPr>
        <w:spacing w:lineRule="auto" w:line="360"/>
        <w:ind w:left="284" w:hanging="0"/>
        <w:rPr>
          <w:sz w:val="22"/>
          <w:szCs w:val="22"/>
        </w:rPr>
      </w:pPr>
      <w:r>
        <w:rPr>
          <w:b/>
          <w:bCs/>
          <w:sz w:val="22"/>
          <w:szCs w:val="22"/>
        </w:rPr>
        <w:t>1.2.2.</w:t>
      </w:r>
      <w:r>
        <w:rPr>
          <w:sz w:val="22"/>
          <w:szCs w:val="22"/>
        </w:rPr>
        <w:t xml:space="preserve"> O Edital da Licitação;</w:t>
      </w:r>
    </w:p>
    <w:p>
      <w:pPr>
        <w:pStyle w:val="Nivel3"/>
        <w:numPr>
          <w:ilvl w:val="0"/>
          <w:numId w:val="0"/>
        </w:numPr>
        <w:spacing w:lineRule="auto" w:line="360"/>
        <w:ind w:left="284" w:hanging="0"/>
        <w:rPr>
          <w:sz w:val="22"/>
          <w:szCs w:val="22"/>
        </w:rPr>
      </w:pPr>
      <w:r>
        <w:rPr>
          <w:b/>
          <w:bCs/>
          <w:sz w:val="22"/>
          <w:szCs w:val="22"/>
        </w:rPr>
        <w:t>1.2.3.</w:t>
      </w:r>
      <w:r>
        <w:rPr>
          <w:sz w:val="22"/>
          <w:szCs w:val="22"/>
        </w:rPr>
        <w:t xml:space="preserve"> A Proposta do contratado;</w:t>
      </w:r>
    </w:p>
    <w:p>
      <w:pPr>
        <w:pStyle w:val="Nivel3"/>
        <w:numPr>
          <w:ilvl w:val="0"/>
          <w:numId w:val="0"/>
        </w:numPr>
        <w:spacing w:lineRule="auto" w:line="360"/>
        <w:ind w:left="284" w:hanging="0"/>
        <w:rPr>
          <w:sz w:val="22"/>
          <w:szCs w:val="22"/>
        </w:rPr>
      </w:pPr>
      <w:r>
        <w:rPr>
          <w:b/>
          <w:bCs/>
          <w:sz w:val="22"/>
          <w:szCs w:val="22"/>
        </w:rPr>
        <w:t>1.2.4.</w:t>
      </w:r>
      <w:r>
        <w:rPr>
          <w:sz w:val="22"/>
          <w:szCs w:val="22"/>
        </w:rPr>
        <w:t xml:space="preserve"> Eventuais anexos dos documentos supracitados.</w:t>
      </w:r>
    </w:p>
    <w:p>
      <w:pPr>
        <w:pStyle w:val="Nivel2"/>
        <w:numPr>
          <w:ilvl w:val="0"/>
          <w:numId w:val="0"/>
        </w:numPr>
        <w:spacing w:lineRule="auto" w:line="360" w:before="0" w:after="0"/>
        <w:ind w:left="0" w:hanging="0"/>
        <w:rPr>
          <w:sz w:val="22"/>
          <w:szCs w:val="22"/>
        </w:rPr>
      </w:pPr>
      <w:r>
        <w:rPr>
          <w:b/>
          <w:bCs/>
          <w:sz w:val="22"/>
          <w:szCs w:val="22"/>
        </w:rPr>
        <w:t xml:space="preserve">1.3. </w:t>
      </w:r>
      <w:r>
        <w:rPr>
          <w:sz w:val="22"/>
          <w:szCs w:val="22"/>
        </w:rPr>
        <w:t xml:space="preserve">O regime de execução é o </w:t>
      </w:r>
      <w:r>
        <w:rPr>
          <w:color w:val="000000"/>
          <w:sz w:val="22"/>
          <w:szCs w:val="22"/>
        </w:rPr>
        <w:t>de contratação por tarefa.</w:t>
      </w:r>
    </w:p>
    <w:p>
      <w:pPr>
        <w:pStyle w:val="Nivel2"/>
        <w:numPr>
          <w:ilvl w:val="0"/>
          <w:numId w:val="0"/>
        </w:numPr>
        <w:spacing w:lineRule="auto" w:line="360" w:before="0" w:after="0"/>
        <w:ind w:left="0" w:hanging="0"/>
        <w:rPr/>
      </w:pPr>
      <w:r>
        <w:rPr/>
      </w:r>
    </w:p>
    <w:p>
      <w:pPr>
        <w:pStyle w:val="Nivel2"/>
        <w:numPr>
          <w:ilvl w:val="0"/>
          <w:numId w:val="0"/>
        </w:numPr>
        <w:spacing w:lineRule="auto" w:line="360" w:before="0" w:after="0"/>
        <w:ind w:left="0" w:hanging="0"/>
        <w:rPr>
          <w:sz w:val="22"/>
          <w:szCs w:val="22"/>
        </w:rPr>
      </w:pPr>
      <w:r>
        <w:rPr>
          <w:b/>
          <w:bCs/>
          <w:sz w:val="22"/>
          <w:szCs w:val="22"/>
        </w:rPr>
        <w:t>CLÁUSULA SEGUNDA – VIGÊNCIA, EXECUÇÃO E LOCAL DOS SERVIÇOS</w:t>
      </w:r>
    </w:p>
    <w:p>
      <w:pPr>
        <w:pStyle w:val="Normal"/>
        <w:ind w:left="0" w:hanging="0"/>
        <w:rPr>
          <w:color w:val="FFFFFF" w:themeColor="background1"/>
        </w:rPr>
      </w:pPr>
      <w:r>
        <w:rPr>
          <w:color w:val="FFFFFF" w:themeColor="background1"/>
        </w:rPr>
      </w:r>
    </w:p>
    <w:p>
      <w:pPr>
        <w:pStyle w:val="Nvel2Red"/>
        <w:numPr>
          <w:ilvl w:val="0"/>
          <w:numId w:val="0"/>
        </w:numPr>
        <w:spacing w:lineRule="auto" w:line="360" w:before="0" w:after="0"/>
        <w:ind w:left="0" w:hanging="0"/>
        <w:rPr/>
      </w:pPr>
      <w:r>
        <w:rPr>
          <w:b/>
          <w:bCs/>
          <w:i w:val="false"/>
          <w:iCs w:val="false"/>
          <w:color w:val="000000"/>
          <w:sz w:val="22"/>
          <w:szCs w:val="22"/>
        </w:rPr>
        <w:t xml:space="preserve">2.1. </w:t>
      </w:r>
      <w:r>
        <w:rPr>
          <w:i w:val="false"/>
          <w:iCs w:val="false"/>
          <w:color w:val="000000"/>
          <w:sz w:val="22"/>
          <w:szCs w:val="22"/>
        </w:rPr>
        <w:t xml:space="preserve">O prazo de vigência da contratação é de 140 (cento e quarenta) dias, contados da assinatura do contrato e divulgação no PNCP, </w:t>
      </w:r>
      <w:r>
        <w:rPr>
          <w:rStyle w:val="LinkdaInternet"/>
          <w:i w:val="false"/>
          <w:iCs w:val="false"/>
          <w:color w:val="000000"/>
          <w:sz w:val="22"/>
          <w:szCs w:val="22"/>
          <w:u w:val="none"/>
        </w:rPr>
        <w:t xml:space="preserve">conforme art. 94 da Lei 14.133/21, </w:t>
      </w:r>
      <w:r>
        <w:rPr>
          <w:rStyle w:val="LinkdaInternet"/>
          <w:rFonts w:eastAsia="Arial" w:cs="Arial"/>
          <w:i w:val="false"/>
          <w:iCs w:val="false"/>
          <w:color w:val="auto"/>
          <w:sz w:val="22"/>
          <w:szCs w:val="22"/>
          <w:u w:val="none"/>
        </w:rPr>
        <w:t>podendo ser prorrogado, desde que devidamente justificado e aceito pela fiscalização, na forma do artigo 105 da Lei nº 14.133 de 2021.</w:t>
      </w:r>
    </w:p>
    <w:p>
      <w:pPr>
        <w:pStyle w:val="Nvel2Red"/>
        <w:numPr>
          <w:ilvl w:val="0"/>
          <w:numId w:val="0"/>
        </w:numPr>
        <w:spacing w:lineRule="auto" w:line="360" w:before="0" w:after="0"/>
        <w:ind w:left="0" w:hanging="0"/>
        <w:rPr>
          <w:rStyle w:val="LinkdaInternet"/>
          <w:rFonts w:ascii="Arial" w:hAnsi="Arial" w:eastAsia="Arial" w:cs="Arial"/>
          <w:b/>
          <w:b/>
          <w:bCs/>
          <w:i w:val="false"/>
          <w:i w:val="false"/>
          <w:iCs w:val="false"/>
          <w:color w:val="auto"/>
          <w:sz w:val="22"/>
          <w:szCs w:val="22"/>
          <w:u w:val="none"/>
        </w:rPr>
      </w:pPr>
      <w:r>
        <w:rPr>
          <w:rFonts w:eastAsia="Arial" w:cs="Arial"/>
          <w:b/>
          <w:bCs/>
          <w:i w:val="false"/>
          <w:iCs w:val="false"/>
          <w:color w:val="auto"/>
          <w:sz w:val="22"/>
          <w:szCs w:val="22"/>
          <w:u w:val="none"/>
        </w:rPr>
      </w:r>
    </w:p>
    <w:p>
      <w:pPr>
        <w:pStyle w:val="Nvel2Red"/>
        <w:numPr>
          <w:ilvl w:val="0"/>
          <w:numId w:val="0"/>
        </w:numPr>
        <w:spacing w:lineRule="auto" w:line="360" w:before="0" w:after="0"/>
        <w:ind w:left="0" w:hanging="0"/>
        <w:rPr/>
      </w:pPr>
      <w:r>
        <w:rPr>
          <w:b/>
          <w:bCs/>
          <w:i w:val="false"/>
          <w:iCs w:val="false"/>
          <w:color w:val="000000"/>
          <w:sz w:val="22"/>
          <w:szCs w:val="22"/>
        </w:rPr>
        <w:t>2.1.2.</w:t>
      </w:r>
      <w:r>
        <w:rPr>
          <w:i w:val="false"/>
          <w:iCs w:val="false"/>
          <w:color w:val="000000"/>
          <w:sz w:val="22"/>
          <w:szCs w:val="22"/>
        </w:rPr>
        <w:t xml:space="preserve"> </w:t>
      </w:r>
      <w:r>
        <w:rPr>
          <w:rFonts w:eastAsia="Arial" w:cs="Arial"/>
          <w:i w:val="false"/>
          <w:iCs w:val="false"/>
          <w:color w:val="auto"/>
          <w:sz w:val="22"/>
          <w:szCs w:val="22"/>
        </w:rPr>
        <w:t>A contagem do prazo de vigência estabelecido neste instrumento, excluir-se-á o dia do início e incluir-se-á o do vencimento, conforme disposto no art. 183 da Lei nº 14.133/2021.</w:t>
      </w:r>
    </w:p>
    <w:p>
      <w:pPr>
        <w:pStyle w:val="Nvel2Red"/>
        <w:numPr>
          <w:ilvl w:val="0"/>
          <w:numId w:val="0"/>
        </w:numPr>
        <w:spacing w:lineRule="auto" w:line="360" w:before="0" w:after="0"/>
        <w:ind w:left="0" w:hanging="0"/>
        <w:rPr>
          <w:rFonts w:ascii="Arial" w:hAnsi="Arial" w:eastAsia="Arial" w:cs="Arial"/>
          <w:i w:val="false"/>
          <w:i w:val="false"/>
          <w:iCs w:val="false"/>
          <w:color w:val="auto"/>
          <w:sz w:val="22"/>
          <w:szCs w:val="22"/>
        </w:rPr>
      </w:pPr>
      <w:r>
        <w:rPr>
          <w:rFonts w:eastAsia="Arial" w:cs="Arial"/>
          <w:i w:val="false"/>
          <w:iCs w:val="false"/>
          <w:color w:val="auto"/>
          <w:sz w:val="22"/>
          <w:szCs w:val="22"/>
        </w:rPr>
      </w:r>
    </w:p>
    <w:p>
      <w:pPr>
        <w:pStyle w:val="Nvel2Red"/>
        <w:numPr>
          <w:ilvl w:val="0"/>
          <w:numId w:val="0"/>
        </w:numPr>
        <w:spacing w:lineRule="auto" w:line="360" w:before="0" w:after="0"/>
        <w:ind w:left="0" w:hanging="0"/>
        <w:rPr/>
      </w:pPr>
      <w:r>
        <w:rPr>
          <w:rFonts w:eastAsia="Arial" w:cs="Arial"/>
          <w:b/>
          <w:bCs/>
          <w:i w:val="false"/>
          <w:iCs w:val="false"/>
          <w:color w:val="auto"/>
          <w:sz w:val="22"/>
          <w:szCs w:val="22"/>
        </w:rPr>
        <w:t>2.2.</w:t>
      </w:r>
      <w:r>
        <w:rPr>
          <w:rFonts w:eastAsia="Arial" w:cs="Arial"/>
          <w:i w:val="false"/>
          <w:iCs w:val="false"/>
          <w:color w:val="auto"/>
          <w:sz w:val="22"/>
          <w:szCs w:val="22"/>
        </w:rPr>
        <w:t xml:space="preserve"> </w:t>
      </w:r>
      <w:r>
        <w:rPr>
          <w:rFonts w:eastAsia="Arial" w:cs="Arial"/>
          <w:b w:val="false"/>
          <w:bCs w:val="false"/>
          <w:i w:val="false"/>
          <w:iCs w:val="false"/>
          <w:color w:val="auto"/>
          <w:sz w:val="22"/>
          <w:szCs w:val="22"/>
        </w:rPr>
        <w:t>O prazo de execução será de 60 (sessenta) dias, a contar da data da ordem de serviço,</w:t>
      </w:r>
      <w:r>
        <w:rPr>
          <w:rFonts w:eastAsia="Arial" w:cs="Arial"/>
          <w:b w:val="false"/>
          <w:bCs w:val="false"/>
          <w:i w:val="false"/>
          <w:iCs w:val="false"/>
          <w:color w:val="auto"/>
          <w:sz w:val="23"/>
          <w:szCs w:val="23"/>
        </w:rPr>
        <w:t xml:space="preserve"> </w:t>
      </w:r>
      <w:r>
        <w:rPr>
          <w:rFonts w:eastAsia="Arial" w:cs="Arial"/>
          <w:b w:val="false"/>
          <w:bCs w:val="false"/>
          <w:i w:val="false"/>
          <w:iCs w:val="false"/>
          <w:color w:val="auto"/>
          <w:sz w:val="22"/>
          <w:szCs w:val="22"/>
        </w:rPr>
        <w:t>e está contemplado no prazo contratual.</w:t>
      </w:r>
    </w:p>
    <w:p>
      <w:pPr>
        <w:pStyle w:val="Nvel2Red"/>
        <w:numPr>
          <w:ilvl w:val="0"/>
          <w:numId w:val="0"/>
        </w:numPr>
        <w:spacing w:lineRule="auto" w:line="360" w:before="0" w:after="0"/>
        <w:ind w:left="0" w:hanging="0"/>
        <w:rPr>
          <w:rFonts w:ascii="Arial" w:hAnsi="Arial" w:eastAsia="Arial" w:cs="Arial"/>
          <w:b w:val="false"/>
          <w:b w:val="false"/>
          <w:bCs w:val="false"/>
          <w:i w:val="false"/>
          <w:i w:val="false"/>
          <w:iCs w:val="false"/>
          <w:color w:val="auto"/>
          <w:sz w:val="22"/>
          <w:szCs w:val="22"/>
        </w:rPr>
      </w:pPr>
      <w:r>
        <w:rPr>
          <w:rFonts w:eastAsia="Arial" w:cs="Arial"/>
          <w:b w:val="false"/>
          <w:bCs w:val="false"/>
          <w:i w:val="false"/>
          <w:iCs w:val="false"/>
          <w:color w:val="auto"/>
          <w:sz w:val="22"/>
          <w:szCs w:val="22"/>
        </w:rPr>
      </w:r>
    </w:p>
    <w:p>
      <w:pPr>
        <w:pStyle w:val="Nvel2Red"/>
        <w:numPr>
          <w:ilvl w:val="0"/>
          <w:numId w:val="0"/>
        </w:numPr>
        <w:spacing w:lineRule="auto" w:line="360" w:before="0" w:after="0"/>
        <w:ind w:left="0" w:hanging="0"/>
        <w:rPr/>
      </w:pPr>
      <w:r>
        <w:rPr>
          <w:rFonts w:eastAsia="Arial" w:cs="Arial"/>
          <w:b/>
          <w:bCs/>
          <w:i w:val="false"/>
          <w:iCs w:val="false"/>
          <w:color w:val="auto"/>
          <w:sz w:val="22"/>
          <w:szCs w:val="22"/>
        </w:rPr>
        <w:t>2.2.1.</w:t>
      </w:r>
      <w:r>
        <w:rPr>
          <w:rFonts w:eastAsia="Arial" w:cs="Arial"/>
          <w:b w:val="false"/>
          <w:bCs w:val="false"/>
          <w:i w:val="false"/>
          <w:iCs w:val="false"/>
          <w:color w:val="auto"/>
          <w:sz w:val="22"/>
          <w:szCs w:val="22"/>
        </w:rPr>
        <w:t xml:space="preserve"> O prazo para expedição da Ordem de Início será em até 20 (vinte) dias úteis da assinatura do contrato.</w:t>
      </w:r>
    </w:p>
    <w:p>
      <w:pPr>
        <w:pStyle w:val="Nvel2Red"/>
        <w:numPr>
          <w:ilvl w:val="0"/>
          <w:numId w:val="0"/>
        </w:numPr>
        <w:spacing w:lineRule="auto" w:line="360" w:before="0" w:after="0"/>
        <w:ind w:left="0" w:hanging="0"/>
        <w:rPr>
          <w:rFonts w:eastAsia="Arial" w:cs="Arial"/>
          <w:b w:val="false"/>
          <w:b w:val="false"/>
          <w:bCs w:val="false"/>
          <w:i w:val="false"/>
          <w:i w:val="false"/>
          <w:iCs w:val="false"/>
          <w:color w:val="auto"/>
        </w:rPr>
      </w:pPr>
      <w:r>
        <w:rPr>
          <w:rFonts w:eastAsia="Arial" w:cs="Arial"/>
          <w:b w:val="false"/>
          <w:bCs w:val="false"/>
          <w:i w:val="false"/>
          <w:iCs w:val="false"/>
          <w:color w:val="auto"/>
        </w:rPr>
      </w:r>
    </w:p>
    <w:p>
      <w:pPr>
        <w:pStyle w:val="Nvel2Red"/>
        <w:numPr>
          <w:ilvl w:val="0"/>
          <w:numId w:val="0"/>
        </w:numPr>
        <w:spacing w:lineRule="auto" w:line="360" w:before="0" w:after="0"/>
        <w:ind w:left="0" w:hanging="0"/>
        <w:rPr>
          <w:rFonts w:ascii="Arial" w:hAnsi="Arial"/>
          <w:b/>
          <w:b/>
          <w:bCs/>
          <w:sz w:val="22"/>
          <w:szCs w:val="22"/>
        </w:rPr>
      </w:pPr>
      <w:r>
        <w:rPr>
          <w:rFonts w:eastAsia="Arial" w:cs="Arial"/>
          <w:b/>
          <w:bCs/>
          <w:i w:val="false"/>
          <w:iCs w:val="false"/>
          <w:color w:val="auto"/>
          <w:sz w:val="22"/>
          <w:szCs w:val="22"/>
        </w:rPr>
        <w:t>2.2.2.</w:t>
      </w:r>
      <w:r>
        <w:rPr>
          <w:rFonts w:eastAsia="Arial" w:cs="Arial"/>
          <w:b w:val="false"/>
          <w:bCs w:val="false"/>
          <w:i w:val="false"/>
          <w:iCs w:val="false"/>
          <w:color w:val="auto"/>
          <w:sz w:val="22"/>
          <w:szCs w:val="22"/>
        </w:rPr>
        <w:t xml:space="preserve"> O local da prestação dos serviços será no </w:t>
      </w:r>
      <w:r>
        <w:rPr>
          <w:rFonts w:eastAsia="Arial" w:cs="Arial"/>
          <w:b w:val="false"/>
          <w:bCs w:val="false"/>
          <w:i w:val="false"/>
          <w:iCs w:val="false"/>
          <w:color w:val="000000"/>
          <w:sz w:val="22"/>
          <w:szCs w:val="22"/>
        </w:rPr>
        <w:t>galpão, na Zona Especial de Negócios  (ZEN), localizado na RJ 196, Conde de Araruama, Quissamã –RJ.</w:t>
      </w:r>
      <w:r>
        <w:rPr>
          <w:rFonts w:eastAsia="Arial" w:cs="Arial"/>
          <w:b w:val="false"/>
          <w:bCs w:val="false"/>
          <w:i w:val="false"/>
          <w:iCs w:val="false"/>
          <w:color w:val="auto"/>
          <w:sz w:val="22"/>
          <w:szCs w:val="22"/>
        </w:rPr>
        <w:t>.</w:t>
      </w:r>
    </w:p>
    <w:p>
      <w:pPr>
        <w:pStyle w:val="Nvel2Red"/>
        <w:numPr>
          <w:ilvl w:val="0"/>
          <w:numId w:val="0"/>
        </w:numPr>
        <w:spacing w:lineRule="auto" w:line="360" w:before="0" w:after="0"/>
        <w:ind w:left="0" w:hanging="0"/>
        <w:rPr>
          <w:rFonts w:eastAsia="Arial" w:cs="Arial"/>
          <w:b w:val="false"/>
          <w:b w:val="false"/>
          <w:bCs w:val="false"/>
          <w:i w:val="false"/>
          <w:i w:val="false"/>
          <w:iCs w:val="false"/>
          <w:color w:val="auto"/>
        </w:rPr>
      </w:pPr>
      <w:r>
        <w:rPr>
          <w:rFonts w:eastAsia="Arial" w:cs="Arial"/>
          <w:b w:val="false"/>
          <w:bCs w:val="false"/>
          <w:i w:val="false"/>
          <w:iCs w:val="false"/>
          <w:color w:val="auto"/>
        </w:rPr>
      </w:r>
    </w:p>
    <w:p>
      <w:pPr>
        <w:pStyle w:val="Nvel2Red"/>
        <w:numPr>
          <w:ilvl w:val="0"/>
          <w:numId w:val="0"/>
        </w:numPr>
        <w:spacing w:lineRule="auto" w:line="360" w:before="0" w:after="0"/>
        <w:ind w:left="0" w:hanging="0"/>
        <w:rPr>
          <w:rFonts w:eastAsia="Arial" w:cs="Arial"/>
          <w:b w:val="false"/>
          <w:b w:val="false"/>
          <w:bCs w:val="false"/>
          <w:i w:val="false"/>
          <w:i w:val="false"/>
          <w:iCs w:val="false"/>
          <w:color w:val="auto"/>
        </w:rPr>
      </w:pPr>
      <w:r>
        <w:rPr>
          <w:rFonts w:eastAsia="Arial" w:cs="Arial"/>
          <w:b w:val="false"/>
          <w:bCs w:val="false"/>
          <w:i w:val="false"/>
          <w:iCs w:val="false"/>
          <w:color w:val="auto"/>
        </w:rPr>
      </w:r>
    </w:p>
    <w:p>
      <w:pPr>
        <w:pStyle w:val="Nvel2Red"/>
        <w:numPr>
          <w:ilvl w:val="0"/>
          <w:numId w:val="0"/>
        </w:numPr>
        <w:spacing w:lineRule="auto" w:line="360" w:before="0" w:after="0"/>
        <w:ind w:left="0" w:hanging="0"/>
        <w:rPr>
          <w:rFonts w:eastAsia="Arial" w:cs="Arial"/>
          <w:b w:val="false"/>
          <w:b w:val="false"/>
          <w:bCs w:val="false"/>
          <w:i w:val="false"/>
          <w:i w:val="false"/>
          <w:iCs w:val="false"/>
          <w:color w:val="auto"/>
        </w:rPr>
      </w:pPr>
      <w:r>
        <w:rPr>
          <w:rFonts w:eastAsia="Arial" w:cs="Arial"/>
          <w:b w:val="false"/>
          <w:bCs w:val="false"/>
          <w:i w:val="false"/>
          <w:iCs w:val="false"/>
          <w:color w:val="auto"/>
        </w:rPr>
      </w:r>
    </w:p>
    <w:p>
      <w:pPr>
        <w:pStyle w:val="Nvel2Red"/>
        <w:numPr>
          <w:ilvl w:val="0"/>
          <w:numId w:val="0"/>
        </w:numPr>
        <w:spacing w:lineRule="auto" w:line="360" w:before="0" w:after="0"/>
        <w:ind w:left="0" w:hanging="0"/>
        <w:rPr>
          <w:rFonts w:eastAsia="Arial" w:cs="Arial"/>
          <w:b w:val="false"/>
          <w:b w:val="false"/>
          <w:bCs w:val="false"/>
          <w:i w:val="false"/>
          <w:i w:val="false"/>
          <w:iCs w:val="false"/>
          <w:color w:val="auto"/>
        </w:rPr>
      </w:pPr>
      <w:r>
        <w:rPr>
          <w:rFonts w:eastAsia="Arial" w:cs="Arial"/>
          <w:b w:val="false"/>
          <w:bCs w:val="false"/>
          <w:i w:val="false"/>
          <w:iCs w:val="false"/>
          <w:color w:val="auto"/>
        </w:rPr>
      </w:r>
    </w:p>
    <w:p>
      <w:pPr>
        <w:pStyle w:val="Nvel2Red"/>
        <w:numPr>
          <w:ilvl w:val="0"/>
          <w:numId w:val="0"/>
        </w:numPr>
        <w:spacing w:lineRule="auto" w:line="360" w:before="0" w:after="0"/>
        <w:ind w:left="0" w:hanging="0"/>
        <w:rPr/>
      </w:pPr>
      <w:bookmarkStart w:id="0" w:name="_Hlk114497577"/>
      <w:bookmarkStart w:id="1" w:name="_Hlk114497502"/>
      <w:bookmarkEnd w:id="0"/>
      <w:bookmarkEnd w:id="1"/>
      <w:r>
        <w:rPr>
          <w:b/>
          <w:bCs/>
          <w:i w:val="false"/>
          <w:iCs w:val="false"/>
          <w:color w:val="000000"/>
          <w:sz w:val="22"/>
          <w:szCs w:val="22"/>
        </w:rPr>
        <w:t xml:space="preserve">CLÁUSULA TERCEIRA – MODELOS DE EXECUÇÃO E GESTÃO CONTRATUAIS </w:t>
      </w:r>
    </w:p>
    <w:p>
      <w:pPr>
        <w:pStyle w:val="Normal"/>
        <w:numPr>
          <w:ilvl w:val="0"/>
          <w:numId w:val="0"/>
        </w:numPr>
        <w:ind w:left="0" w:hanging="0"/>
        <w:rPr>
          <w:color w:val="FFFFFF" w:themeColor="background1"/>
        </w:rPr>
      </w:pPr>
      <w:r>
        <w:rPr>
          <w:color w:val="FFFFFF" w:themeColor="background1"/>
        </w:rPr>
      </w:r>
    </w:p>
    <w:p>
      <w:pPr>
        <w:pStyle w:val="Nivel2"/>
        <w:numPr>
          <w:ilvl w:val="0"/>
          <w:numId w:val="0"/>
        </w:numPr>
        <w:spacing w:lineRule="auto" w:line="360" w:before="0" w:after="0"/>
        <w:ind w:left="0" w:hanging="0"/>
        <w:rPr>
          <w:sz w:val="22"/>
          <w:szCs w:val="22"/>
        </w:rPr>
      </w:pPr>
      <w:r>
        <w:rPr>
          <w:b/>
          <w:bCs/>
          <w:sz w:val="22"/>
          <w:szCs w:val="22"/>
        </w:rPr>
        <w:t>3.1.</w:t>
      </w:r>
      <w:r>
        <w:rPr>
          <w:sz w:val="22"/>
          <w:szCs w:val="22"/>
        </w:rPr>
        <w:t xml:space="preserve"> O regime de execução contratual, os modelos de gestão e de execução, assim como os prazos e condições de conclusão, entrega, observação e recebimento do objeto constam no Projeto Básico, anexo a este Contrato.</w:t>
      </w:r>
    </w:p>
    <w:p>
      <w:pPr>
        <w:pStyle w:val="Nivel2"/>
        <w:numPr>
          <w:ilvl w:val="0"/>
          <w:numId w:val="0"/>
        </w:numPr>
        <w:spacing w:lineRule="auto" w:line="360" w:before="0" w:after="0"/>
        <w:ind w:left="0" w:hanging="0"/>
        <w:rPr>
          <w:sz w:val="22"/>
          <w:szCs w:val="22"/>
        </w:rPr>
      </w:pPr>
      <w:r>
        <w:rPr>
          <w:sz w:val="22"/>
          <w:szCs w:val="22"/>
        </w:rPr>
      </w:r>
    </w:p>
    <w:p>
      <w:pPr>
        <w:pStyle w:val="Normal"/>
        <w:numPr>
          <w:ilvl w:val="0"/>
          <w:numId w:val="0"/>
        </w:numPr>
        <w:spacing w:lineRule="auto" w:line="360"/>
        <w:ind w:left="0" w:hanging="0"/>
        <w:jc w:val="both"/>
        <w:rPr>
          <w:sz w:val="22"/>
          <w:szCs w:val="22"/>
        </w:rPr>
      </w:pPr>
      <w:r>
        <w:rPr>
          <w:rFonts w:cs="Arial" w:ascii="Arial" w:hAnsi="Arial"/>
          <w:b/>
          <w:bCs/>
          <w:sz w:val="22"/>
          <w:szCs w:val="22"/>
        </w:rPr>
        <w:t>3.2.</w:t>
      </w:r>
      <w:r>
        <w:rPr>
          <w:rFonts w:cs="Arial" w:ascii="Arial" w:hAnsi="Arial"/>
          <w:sz w:val="22"/>
          <w:szCs w:val="22"/>
        </w:rPr>
        <w:t xml:space="preserve"> A gestão e fiscalização do presente contrato será executada pelos servidores da Secretaria Municipal de Obras, Serviços Públicos e Urbanismo, nomeados através da </w:t>
      </w:r>
      <w:r>
        <w:rPr>
          <w:rFonts w:cs="Arial" w:ascii="Arial" w:hAnsi="Arial"/>
          <w:sz w:val="22"/>
          <w:szCs w:val="22"/>
          <w:shd w:fill="auto" w:val="clear"/>
        </w:rPr>
        <w:t>Portaria nº _____/2026.</w:t>
      </w:r>
    </w:p>
    <w:p>
      <w:pPr>
        <w:pStyle w:val="Normal"/>
        <w:spacing w:lineRule="auto" w:line="360"/>
        <w:ind w:left="0" w:hanging="0"/>
        <w:jc w:val="both"/>
        <w:rPr>
          <w:rFonts w:cs="Arial"/>
          <w:shd w:fill="auto" w:val="clear"/>
        </w:rPr>
      </w:pPr>
      <w:r>
        <w:rPr>
          <w:rFonts w:cs="Arial"/>
          <w:shd w:fill="auto" w:val="clear"/>
        </w:rPr>
      </w:r>
    </w:p>
    <w:p>
      <w:pPr>
        <w:pStyle w:val="Normal"/>
        <w:spacing w:lineRule="auto" w:line="360"/>
        <w:jc w:val="both"/>
        <w:rPr>
          <w:rFonts w:ascii="Arial" w:hAnsi="Arial"/>
          <w:sz w:val="22"/>
          <w:szCs w:val="22"/>
        </w:rPr>
      </w:pPr>
      <w:r>
        <w:rPr>
          <w:rFonts w:ascii="Arial" w:hAnsi="Arial"/>
          <w:b/>
          <w:bCs/>
          <w:sz w:val="22"/>
          <w:szCs w:val="22"/>
        </w:rPr>
        <w:t xml:space="preserve">3.2.1. </w:t>
      </w:r>
      <w:r>
        <w:rPr>
          <w:rFonts w:ascii="Arial" w:hAnsi="Arial"/>
          <w:sz w:val="22"/>
          <w:szCs w:val="22"/>
        </w:rPr>
        <w:t>Caberá ao servidor designado abaixo a GESTÃO DO CONTRATO, por intermédio do acompanhamento da execução da contratação, inclusive suas prorrogações e aditamentos,</w:t>
      </w:r>
    </w:p>
    <w:p>
      <w:pPr>
        <w:pStyle w:val="Normal"/>
        <w:spacing w:lineRule="auto" w:line="360"/>
        <w:jc w:val="both"/>
        <w:rPr>
          <w:rFonts w:ascii="Arial" w:hAnsi="Arial"/>
          <w:sz w:val="22"/>
          <w:szCs w:val="22"/>
        </w:rPr>
      </w:pPr>
      <w:r>
        <w:rPr>
          <w:rFonts w:ascii="Arial" w:hAnsi="Arial"/>
          <w:sz w:val="22"/>
          <w:szCs w:val="22"/>
        </w:rPr>
        <w:t>quando for o caso, objetivando a verificação e controle de valores e quantitativos, cumprimento de metas e dos prazos legais e convencionais, bem como de outros elementos necessários à boa execução da contratação, nos termos do artigo 60 do Decreto municipal 3841/2024.</w:t>
      </w:r>
    </w:p>
    <w:p>
      <w:pPr>
        <w:pStyle w:val="Normal"/>
        <w:widowControl w:val="false"/>
        <w:suppressAutoHyphens w:val="true"/>
        <w:overflowPunct w:val="false"/>
        <w:bidi w:val="0"/>
        <w:spacing w:lineRule="auto" w:line="360" w:before="0" w:after="0"/>
        <w:ind w:left="0" w:right="-57" w:hanging="0"/>
        <w:jc w:val="both"/>
        <w:rPr>
          <w:rFonts w:ascii="Arial" w:hAnsi="Arial"/>
          <w:sz w:val="22"/>
          <w:szCs w:val="22"/>
        </w:rPr>
      </w:pPr>
      <w:r>
        <w:rPr>
          <w:rFonts w:ascii="Arial" w:hAnsi="Arial"/>
          <w:sz w:val="22"/>
          <w:szCs w:val="22"/>
        </w:rPr>
      </w:r>
    </w:p>
    <w:tbl>
      <w:tblPr>
        <w:tblW w:w="9915" w:type="dxa"/>
        <w:jc w:val="left"/>
        <w:tblInd w:w="33" w:type="dxa"/>
        <w:tblLayout w:type="fixed"/>
        <w:tblCellMar>
          <w:top w:w="28" w:type="dxa"/>
          <w:left w:w="28" w:type="dxa"/>
          <w:bottom w:w="28" w:type="dxa"/>
          <w:right w:w="28" w:type="dxa"/>
        </w:tblCellMar>
      </w:tblPr>
      <w:tblGrid>
        <w:gridCol w:w="2775"/>
        <w:gridCol w:w="5666"/>
        <w:gridCol w:w="1474"/>
      </w:tblGrid>
      <w:tr>
        <w:trPr/>
        <w:tc>
          <w:tcPr>
            <w:tcW w:w="2775" w:type="dxa"/>
            <w:tcBorders>
              <w:top w:val="single" w:sz="2" w:space="0" w:color="000000"/>
              <w:left w:val="single" w:sz="2" w:space="0" w:color="000000"/>
              <w:bottom w:val="single" w:sz="2" w:space="0" w:color="000000"/>
            </w:tcBorders>
            <w:shd w:fill="DDDDDD" w:val="clear"/>
          </w:tcPr>
          <w:p>
            <w:pPr>
              <w:pStyle w:val="Contedodatabela"/>
              <w:widowControl w:val="false"/>
              <w:suppressLineNumbers/>
              <w:suppressAutoHyphens w:val="true"/>
              <w:overflowPunct w:val="false"/>
              <w:bidi w:val="0"/>
              <w:spacing w:lineRule="auto" w:line="240" w:before="0" w:after="0"/>
              <w:ind w:left="170" w:right="0" w:hanging="0"/>
              <w:jc w:val="center"/>
              <w:rPr>
                <w:rFonts w:ascii="Arial" w:hAnsi="Arial"/>
                <w:sz w:val="22"/>
                <w:szCs w:val="22"/>
              </w:rPr>
            </w:pPr>
            <w:r>
              <w:rPr>
                <w:rFonts w:ascii="Arial" w:hAnsi="Arial"/>
                <w:b/>
                <w:bCs/>
                <w:sz w:val="22"/>
                <w:szCs w:val="22"/>
              </w:rPr>
              <w:t>FUNÇÃO</w:t>
            </w:r>
          </w:p>
        </w:tc>
        <w:tc>
          <w:tcPr>
            <w:tcW w:w="5666"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sz w:val="22"/>
                <w:szCs w:val="22"/>
              </w:rPr>
            </w:pPr>
            <w:r>
              <w:rPr>
                <w:rFonts w:ascii="Arial" w:hAnsi="Arial"/>
                <w:b/>
                <w:bCs/>
                <w:sz w:val="22"/>
                <w:szCs w:val="22"/>
              </w:rPr>
              <w:t>NOME</w:t>
            </w:r>
          </w:p>
        </w:tc>
        <w:tc>
          <w:tcPr>
            <w:tcW w:w="1474" w:type="dxa"/>
            <w:tcBorders>
              <w:top w:val="single" w:sz="2" w:space="0" w:color="000000"/>
              <w:left w:val="single" w:sz="2" w:space="0" w:color="000000"/>
              <w:bottom w:val="single" w:sz="2" w:space="0" w:color="000000"/>
              <w:right w:val="single" w:sz="2" w:space="0" w:color="000000"/>
            </w:tcBorders>
            <w:shd w:fill="DDDDDD" w:val="clear"/>
          </w:tcPr>
          <w:p>
            <w:pPr>
              <w:pStyle w:val="Contedodatabela"/>
              <w:widowControl w:val="false"/>
              <w:jc w:val="center"/>
              <w:rPr>
                <w:rFonts w:ascii="Arial" w:hAnsi="Arial"/>
                <w:sz w:val="22"/>
                <w:szCs w:val="22"/>
              </w:rPr>
            </w:pPr>
            <w:r>
              <w:rPr>
                <w:rFonts w:ascii="Arial" w:hAnsi="Arial"/>
                <w:b/>
                <w:bCs/>
                <w:sz w:val="22"/>
                <w:szCs w:val="22"/>
              </w:rPr>
              <w:t>MATRÍCULA</w:t>
            </w:r>
          </w:p>
        </w:tc>
      </w:tr>
      <w:tr>
        <w:trPr/>
        <w:tc>
          <w:tcPr>
            <w:tcW w:w="2775" w:type="dxa"/>
            <w:tcBorders>
              <w:left w:val="single" w:sz="2" w:space="0" w:color="000000"/>
              <w:bottom w:val="single" w:sz="2" w:space="0" w:color="000000"/>
            </w:tcBorders>
            <w:vAlign w:val="bottom"/>
          </w:tcPr>
          <w:p>
            <w:pPr>
              <w:pStyle w:val="Contedodatabela"/>
              <w:widowControl w:val="false"/>
              <w:suppressLineNumbers/>
              <w:suppressAutoHyphens w:val="true"/>
              <w:overflowPunct w:val="false"/>
              <w:bidi w:val="0"/>
              <w:spacing w:lineRule="auto" w:line="240" w:before="0" w:after="0"/>
              <w:ind w:left="170" w:right="0" w:hanging="0"/>
              <w:jc w:val="center"/>
              <w:rPr>
                <w:rFonts w:ascii="Arial" w:hAnsi="Arial"/>
                <w:sz w:val="22"/>
                <w:szCs w:val="22"/>
              </w:rPr>
            </w:pPr>
            <w:r>
              <w:rPr>
                <w:rFonts w:ascii="Arial" w:hAnsi="Arial"/>
                <w:sz w:val="22"/>
                <w:szCs w:val="22"/>
              </w:rPr>
            </w:r>
          </w:p>
          <w:p>
            <w:pPr>
              <w:pStyle w:val="Contedodatabela"/>
              <w:widowControl w:val="false"/>
              <w:jc w:val="center"/>
              <w:rPr>
                <w:rFonts w:ascii="Arial" w:hAnsi="Arial"/>
                <w:sz w:val="22"/>
                <w:szCs w:val="22"/>
              </w:rPr>
            </w:pPr>
            <w:r>
              <w:rPr>
                <w:rFonts w:ascii="Arial" w:hAnsi="Arial"/>
                <w:sz w:val="22"/>
                <w:szCs w:val="22"/>
              </w:rPr>
              <w:t>Gestor</w:t>
            </w:r>
          </w:p>
        </w:tc>
        <w:tc>
          <w:tcPr>
            <w:tcW w:w="5666" w:type="dxa"/>
            <w:tcBorders>
              <w:left w:val="single" w:sz="2" w:space="0" w:color="000000"/>
              <w:bottom w:val="single" w:sz="2" w:space="0" w:color="000000"/>
            </w:tcBorders>
            <w:vAlign w:val="bottom"/>
          </w:tcPr>
          <w:p>
            <w:pPr>
              <w:pStyle w:val="Contedodatabela"/>
              <w:widowControl w:val="false"/>
              <w:jc w:val="both"/>
              <w:rPr>
                <w:rFonts w:ascii="Arial" w:hAnsi="Arial"/>
                <w:sz w:val="22"/>
                <w:szCs w:val="22"/>
              </w:rPr>
            </w:pPr>
            <w:r>
              <w:rPr>
                <w:rFonts w:ascii="Arial" w:hAnsi="Arial"/>
                <w:sz w:val="22"/>
                <w:szCs w:val="22"/>
              </w:rPr>
            </w:r>
          </w:p>
        </w:tc>
        <w:tc>
          <w:tcPr>
            <w:tcW w:w="1474" w:type="dxa"/>
            <w:tcBorders>
              <w:left w:val="single" w:sz="2" w:space="0" w:color="000000"/>
              <w:bottom w:val="single" w:sz="2" w:space="0" w:color="000000"/>
              <w:right w:val="single" w:sz="2" w:space="0" w:color="000000"/>
            </w:tcBorders>
            <w:vAlign w:val="bottom"/>
          </w:tcPr>
          <w:p>
            <w:pPr>
              <w:pStyle w:val="Contedodatabela"/>
              <w:widowControl w:val="false"/>
              <w:jc w:val="center"/>
              <w:rPr>
                <w:rFonts w:ascii="Arial" w:hAnsi="Arial"/>
                <w:sz w:val="22"/>
                <w:szCs w:val="22"/>
              </w:rPr>
            </w:pPr>
            <w:r>
              <w:rPr>
                <w:rFonts w:ascii="Arial" w:hAnsi="Arial"/>
                <w:sz w:val="22"/>
                <w:szCs w:val="22"/>
              </w:rPr>
            </w:r>
          </w:p>
        </w:tc>
      </w:tr>
    </w:tbl>
    <w:p>
      <w:pPr>
        <w:pStyle w:val="Normal"/>
        <w:jc w:val="both"/>
        <w:rPr>
          <w:rFonts w:ascii="Arial" w:hAnsi="Arial"/>
          <w:sz w:val="22"/>
          <w:szCs w:val="22"/>
        </w:rPr>
      </w:pPr>
      <w:r>
        <w:rPr>
          <w:rFonts w:ascii="Arial" w:hAnsi="Arial"/>
          <w:sz w:val="22"/>
          <w:szCs w:val="22"/>
        </w:rPr>
      </w:r>
    </w:p>
    <w:p>
      <w:pPr>
        <w:pStyle w:val="Normal"/>
        <w:jc w:val="both"/>
        <w:rPr>
          <w:rFonts w:ascii="Arial" w:hAnsi="Arial"/>
          <w:sz w:val="22"/>
          <w:szCs w:val="22"/>
        </w:rPr>
      </w:pPr>
      <w:r>
        <w:rPr>
          <w:rFonts w:ascii="Arial" w:hAnsi="Arial"/>
          <w:sz w:val="22"/>
          <w:szCs w:val="22"/>
        </w:rPr>
      </w:r>
    </w:p>
    <w:p>
      <w:pPr>
        <w:pStyle w:val="Normal"/>
        <w:spacing w:lineRule="auto" w:line="360"/>
        <w:jc w:val="both"/>
        <w:rPr>
          <w:rFonts w:ascii="Arial" w:hAnsi="Arial"/>
          <w:sz w:val="22"/>
          <w:szCs w:val="22"/>
        </w:rPr>
      </w:pPr>
      <w:r>
        <w:rPr>
          <w:rFonts w:ascii="Arial" w:hAnsi="Arial"/>
          <w:b/>
          <w:bCs/>
          <w:sz w:val="22"/>
          <w:szCs w:val="22"/>
        </w:rPr>
        <w:t xml:space="preserve">3.2.2. </w:t>
      </w:r>
      <w:r>
        <w:rPr>
          <w:rFonts w:ascii="Arial" w:hAnsi="Arial"/>
          <w:sz w:val="22"/>
          <w:szCs w:val="22"/>
        </w:rPr>
        <w:t>Caberão aos servidores designados abaixo a FISCALIZAÇÃO da contratação, ficando responsáveis pelo recebimento, devendo acompanhar e anotar em registro próprio todas as ocorrências relacionadas com a execução do contrato, determinando o que for necessário à regularização de falhas e/ou defeitos observados, de forma a assegurar o perfeito cumprimento do objeto, nos termos do artigo 61 do Decreto municipal 3841/2024.</w:t>
      </w:r>
    </w:p>
    <w:p>
      <w:pPr>
        <w:pStyle w:val="Normal"/>
        <w:jc w:val="both"/>
        <w:rPr>
          <w:rFonts w:ascii="Arial" w:hAnsi="Arial"/>
          <w:sz w:val="22"/>
          <w:szCs w:val="22"/>
        </w:rPr>
      </w:pPr>
      <w:r>
        <w:rPr>
          <w:rFonts w:ascii="Arial" w:hAnsi="Arial"/>
          <w:sz w:val="22"/>
          <w:szCs w:val="22"/>
        </w:rPr>
      </w:r>
    </w:p>
    <w:tbl>
      <w:tblPr>
        <w:tblW w:w="9870" w:type="dxa"/>
        <w:jc w:val="left"/>
        <w:tblInd w:w="79" w:type="dxa"/>
        <w:tblLayout w:type="fixed"/>
        <w:tblCellMar>
          <w:top w:w="28" w:type="dxa"/>
          <w:left w:w="28" w:type="dxa"/>
          <w:bottom w:w="28" w:type="dxa"/>
          <w:right w:w="28" w:type="dxa"/>
        </w:tblCellMar>
      </w:tblPr>
      <w:tblGrid>
        <w:gridCol w:w="2742"/>
        <w:gridCol w:w="5608"/>
        <w:gridCol w:w="1520"/>
      </w:tblGrid>
      <w:tr>
        <w:trPr/>
        <w:tc>
          <w:tcPr>
            <w:tcW w:w="2742" w:type="dxa"/>
            <w:tcBorders>
              <w:top w:val="single" w:sz="2" w:space="0" w:color="000000"/>
              <w:left w:val="single" w:sz="2" w:space="0" w:color="000000"/>
              <w:bottom w:val="single" w:sz="2" w:space="0" w:color="000000"/>
            </w:tcBorders>
            <w:shd w:fill="DDDDDD" w:val="clear"/>
            <w:vAlign w:val="center"/>
          </w:tcPr>
          <w:p>
            <w:pPr>
              <w:pStyle w:val="Contedodatabela"/>
              <w:widowControl w:val="false"/>
              <w:jc w:val="center"/>
              <w:rPr>
                <w:rFonts w:ascii="Arial" w:hAnsi="Arial"/>
                <w:sz w:val="22"/>
                <w:szCs w:val="22"/>
              </w:rPr>
            </w:pPr>
            <w:r>
              <w:rPr>
                <w:rFonts w:ascii="Arial" w:hAnsi="Arial"/>
                <w:b/>
                <w:bCs/>
                <w:sz w:val="22"/>
                <w:szCs w:val="22"/>
              </w:rPr>
              <w:t>FUNÇÃO</w:t>
            </w:r>
          </w:p>
        </w:tc>
        <w:tc>
          <w:tcPr>
            <w:tcW w:w="5608" w:type="dxa"/>
            <w:tcBorders>
              <w:top w:val="single" w:sz="2" w:space="0" w:color="000000"/>
              <w:left w:val="single" w:sz="2" w:space="0" w:color="000000"/>
              <w:bottom w:val="single" w:sz="2" w:space="0" w:color="000000"/>
            </w:tcBorders>
            <w:shd w:fill="DDDDDD" w:val="clear"/>
            <w:vAlign w:val="center"/>
          </w:tcPr>
          <w:p>
            <w:pPr>
              <w:pStyle w:val="Contedodatabela"/>
              <w:widowControl w:val="false"/>
              <w:jc w:val="center"/>
              <w:rPr>
                <w:rFonts w:ascii="Arial" w:hAnsi="Arial"/>
                <w:sz w:val="22"/>
                <w:szCs w:val="22"/>
              </w:rPr>
            </w:pPr>
            <w:r>
              <w:rPr>
                <w:rFonts w:ascii="Arial" w:hAnsi="Arial"/>
                <w:b/>
                <w:bCs/>
                <w:sz w:val="22"/>
                <w:szCs w:val="22"/>
              </w:rPr>
              <w:t>NOME</w:t>
            </w:r>
          </w:p>
        </w:tc>
        <w:tc>
          <w:tcPr>
            <w:tcW w:w="1520" w:type="dxa"/>
            <w:tcBorders>
              <w:top w:val="single" w:sz="2" w:space="0" w:color="000000"/>
              <w:left w:val="single" w:sz="2" w:space="0" w:color="000000"/>
              <w:bottom w:val="single" w:sz="2" w:space="0" w:color="000000"/>
              <w:right w:val="single" w:sz="2" w:space="0" w:color="000000"/>
            </w:tcBorders>
            <w:shd w:fill="DDDDDD" w:val="clear"/>
            <w:vAlign w:val="center"/>
          </w:tcPr>
          <w:p>
            <w:pPr>
              <w:pStyle w:val="Contedodatabela"/>
              <w:widowControl w:val="false"/>
              <w:jc w:val="center"/>
              <w:rPr>
                <w:rFonts w:ascii="Arial" w:hAnsi="Arial"/>
                <w:sz w:val="22"/>
                <w:szCs w:val="22"/>
              </w:rPr>
            </w:pPr>
            <w:r>
              <w:rPr>
                <w:rFonts w:ascii="Arial" w:hAnsi="Arial"/>
                <w:b/>
                <w:bCs/>
                <w:sz w:val="22"/>
                <w:szCs w:val="22"/>
              </w:rPr>
              <w:t>MATRÍCULA</w:t>
            </w:r>
          </w:p>
        </w:tc>
      </w:tr>
      <w:tr>
        <w:trPr/>
        <w:tc>
          <w:tcPr>
            <w:tcW w:w="2742" w:type="dxa"/>
            <w:tcBorders>
              <w:left w:val="single" w:sz="2" w:space="0" w:color="000000"/>
              <w:bottom w:val="single" w:sz="2" w:space="0" w:color="000000"/>
            </w:tcBorders>
            <w:vAlign w:val="bottom"/>
          </w:tcPr>
          <w:p>
            <w:pPr>
              <w:pStyle w:val="Contedodatabela"/>
              <w:widowControl w:val="false"/>
              <w:jc w:val="center"/>
              <w:rPr>
                <w:rFonts w:ascii="Arial" w:hAnsi="Arial"/>
                <w:sz w:val="22"/>
                <w:szCs w:val="22"/>
              </w:rPr>
            </w:pPr>
            <w:r>
              <w:rPr>
                <w:rFonts w:ascii="Arial" w:hAnsi="Arial"/>
                <w:sz w:val="22"/>
                <w:szCs w:val="22"/>
              </w:rPr>
            </w:r>
          </w:p>
          <w:p>
            <w:pPr>
              <w:pStyle w:val="Contedodatabela"/>
              <w:widowControl w:val="false"/>
              <w:jc w:val="center"/>
              <w:rPr>
                <w:rFonts w:ascii="Arial" w:hAnsi="Arial"/>
                <w:sz w:val="22"/>
                <w:szCs w:val="22"/>
              </w:rPr>
            </w:pPr>
            <w:r>
              <w:rPr>
                <w:rFonts w:ascii="Arial" w:hAnsi="Arial"/>
                <w:sz w:val="22"/>
                <w:szCs w:val="22"/>
              </w:rPr>
              <w:t>Fiscal Admin.</w:t>
            </w:r>
          </w:p>
        </w:tc>
        <w:tc>
          <w:tcPr>
            <w:tcW w:w="5608" w:type="dxa"/>
            <w:tcBorders>
              <w:left w:val="single" w:sz="2" w:space="0" w:color="000000"/>
              <w:bottom w:val="single" w:sz="2" w:space="0" w:color="000000"/>
            </w:tcBorders>
            <w:vAlign w:val="bottom"/>
          </w:tcPr>
          <w:p>
            <w:pPr>
              <w:pStyle w:val="Contedodatabela"/>
              <w:widowControl w:val="false"/>
              <w:jc w:val="both"/>
              <w:rPr>
                <w:rFonts w:ascii="Arial" w:hAnsi="Arial"/>
                <w:sz w:val="22"/>
                <w:szCs w:val="22"/>
              </w:rPr>
            </w:pPr>
            <w:r>
              <w:rPr>
                <w:rFonts w:ascii="Arial" w:hAnsi="Arial"/>
                <w:sz w:val="22"/>
                <w:szCs w:val="22"/>
              </w:rPr>
            </w:r>
          </w:p>
        </w:tc>
        <w:tc>
          <w:tcPr>
            <w:tcW w:w="1520" w:type="dxa"/>
            <w:tcBorders>
              <w:left w:val="single" w:sz="2" w:space="0" w:color="000000"/>
              <w:bottom w:val="single" w:sz="2" w:space="0" w:color="000000"/>
              <w:right w:val="single" w:sz="2" w:space="0" w:color="000000"/>
            </w:tcBorders>
            <w:vAlign w:val="bottom"/>
          </w:tcPr>
          <w:p>
            <w:pPr>
              <w:pStyle w:val="Contedodatabela"/>
              <w:widowControl w:val="false"/>
              <w:jc w:val="center"/>
              <w:rPr>
                <w:rFonts w:ascii="Arial" w:hAnsi="Arial"/>
                <w:sz w:val="22"/>
                <w:szCs w:val="22"/>
              </w:rPr>
            </w:pPr>
            <w:r>
              <w:rPr>
                <w:rFonts w:ascii="Arial" w:hAnsi="Arial"/>
                <w:sz w:val="22"/>
                <w:szCs w:val="22"/>
              </w:rPr>
            </w:r>
          </w:p>
        </w:tc>
      </w:tr>
      <w:tr>
        <w:trPr/>
        <w:tc>
          <w:tcPr>
            <w:tcW w:w="2742" w:type="dxa"/>
            <w:tcBorders>
              <w:left w:val="single" w:sz="2" w:space="0" w:color="000000"/>
              <w:bottom w:val="single" w:sz="2" w:space="0" w:color="000000"/>
            </w:tcBorders>
            <w:vAlign w:val="bottom"/>
          </w:tcPr>
          <w:p>
            <w:pPr>
              <w:pStyle w:val="Contedodatabela"/>
              <w:widowControl w:val="false"/>
              <w:jc w:val="center"/>
              <w:rPr>
                <w:rFonts w:ascii="Arial" w:hAnsi="Arial"/>
                <w:sz w:val="22"/>
                <w:szCs w:val="22"/>
              </w:rPr>
            </w:pPr>
            <w:r>
              <w:rPr>
                <w:rFonts w:ascii="Arial" w:hAnsi="Arial"/>
                <w:sz w:val="22"/>
                <w:szCs w:val="22"/>
              </w:rPr>
            </w:r>
          </w:p>
          <w:p>
            <w:pPr>
              <w:pStyle w:val="Contedodatabela"/>
              <w:widowControl w:val="false"/>
              <w:jc w:val="center"/>
              <w:rPr>
                <w:rFonts w:ascii="Arial" w:hAnsi="Arial"/>
                <w:sz w:val="22"/>
                <w:szCs w:val="22"/>
              </w:rPr>
            </w:pPr>
            <w:r>
              <w:rPr>
                <w:rFonts w:ascii="Arial" w:hAnsi="Arial"/>
                <w:sz w:val="22"/>
                <w:szCs w:val="22"/>
              </w:rPr>
              <w:t>Fiscal Técnico</w:t>
            </w:r>
          </w:p>
        </w:tc>
        <w:tc>
          <w:tcPr>
            <w:tcW w:w="5608" w:type="dxa"/>
            <w:tcBorders>
              <w:left w:val="single" w:sz="2" w:space="0" w:color="000000"/>
              <w:bottom w:val="single" w:sz="2" w:space="0" w:color="000000"/>
            </w:tcBorders>
            <w:vAlign w:val="bottom"/>
          </w:tcPr>
          <w:p>
            <w:pPr>
              <w:pStyle w:val="Contedodatabela"/>
              <w:widowControl w:val="false"/>
              <w:jc w:val="both"/>
              <w:rPr>
                <w:rFonts w:ascii="Arial" w:hAnsi="Arial"/>
                <w:sz w:val="22"/>
                <w:szCs w:val="22"/>
              </w:rPr>
            </w:pPr>
            <w:r>
              <w:rPr>
                <w:rFonts w:ascii="Arial" w:hAnsi="Arial"/>
                <w:sz w:val="22"/>
                <w:szCs w:val="22"/>
              </w:rPr>
            </w:r>
          </w:p>
        </w:tc>
        <w:tc>
          <w:tcPr>
            <w:tcW w:w="1520" w:type="dxa"/>
            <w:tcBorders>
              <w:left w:val="single" w:sz="2" w:space="0" w:color="000000"/>
              <w:bottom w:val="single" w:sz="2" w:space="0" w:color="000000"/>
              <w:right w:val="single" w:sz="2" w:space="0" w:color="000000"/>
            </w:tcBorders>
            <w:vAlign w:val="bottom"/>
          </w:tcPr>
          <w:p>
            <w:pPr>
              <w:pStyle w:val="Contedodatabela"/>
              <w:widowControl w:val="false"/>
              <w:jc w:val="center"/>
              <w:rPr>
                <w:rFonts w:ascii="Arial" w:hAnsi="Arial"/>
                <w:sz w:val="22"/>
                <w:szCs w:val="22"/>
              </w:rPr>
            </w:pPr>
            <w:r>
              <w:rPr>
                <w:rFonts w:ascii="Arial" w:hAnsi="Arial"/>
                <w:sz w:val="22"/>
                <w:szCs w:val="22"/>
              </w:rPr>
            </w:r>
          </w:p>
        </w:tc>
      </w:tr>
    </w:tbl>
    <w:p>
      <w:pPr>
        <w:pStyle w:val="Corpodetexto3"/>
        <w:numPr>
          <w:ilvl w:val="0"/>
          <w:numId w:val="0"/>
        </w:numPr>
        <w:spacing w:lineRule="auto" w:line="360" w:before="513" w:after="513"/>
        <w:ind w:left="0" w:hanging="0"/>
        <w:jc w:val="both"/>
        <w:rPr>
          <w:sz w:val="22"/>
          <w:szCs w:val="22"/>
        </w:rPr>
      </w:pPr>
      <w:r>
        <w:rPr>
          <w:rFonts w:cs="Arial"/>
          <w:b/>
          <w:bCs/>
          <w:color w:val="000000"/>
          <w:sz w:val="22"/>
          <w:szCs w:val="22"/>
          <w:shd w:fill="auto" w:val="clear"/>
        </w:rPr>
        <w:t>3.3.</w:t>
      </w:r>
      <w:r>
        <w:rPr>
          <w:rFonts w:cs="Arial"/>
          <w:color w:val="000000"/>
          <w:sz w:val="22"/>
          <w:szCs w:val="22"/>
          <w:shd w:fill="auto" w:val="clear"/>
        </w:rPr>
        <w:t xml:space="preserve"> Executados os serviços, na forma estipulada no projeto básico, o</w:t>
      </w:r>
      <w:r>
        <w:rPr>
          <w:rFonts w:eastAsia="Arial" w:cs="Arial"/>
          <w:color w:val="000000"/>
          <w:sz w:val="22"/>
          <w:szCs w:val="22"/>
          <w:shd w:fill="auto" w:val="clear"/>
        </w:rPr>
        <w:t xml:space="preserve"> </w:t>
      </w:r>
      <w:r>
        <w:rPr>
          <w:rFonts w:eastAsia="Arial" w:cs="Arial"/>
          <w:b/>
          <w:bCs/>
          <w:color w:val="000000"/>
          <w:sz w:val="22"/>
          <w:szCs w:val="22"/>
          <w:shd w:fill="auto" w:val="clear"/>
        </w:rPr>
        <w:t>recebimento provisório</w:t>
      </w:r>
      <w:r>
        <w:rPr>
          <w:rFonts w:eastAsia="Arial" w:cs="Arial"/>
          <w:color w:val="000000"/>
          <w:sz w:val="22"/>
          <w:szCs w:val="22"/>
          <w:shd w:fill="auto" w:val="clear"/>
        </w:rPr>
        <w:t>, será realizado de forma sumária, no ato da entrega de cada parcela ou parcela única, mediante Termo de Recebimento Provisório emitido, em conjunto ou não pelo fiscal técnico e demais fiscais do contrato.</w:t>
      </w:r>
    </w:p>
    <w:p>
      <w:pPr>
        <w:pStyle w:val="Corpodetexto3"/>
        <w:numPr>
          <w:ilvl w:val="0"/>
          <w:numId w:val="0"/>
        </w:numPr>
        <w:spacing w:lineRule="auto" w:line="360"/>
        <w:ind w:left="0" w:hanging="0"/>
        <w:jc w:val="both"/>
        <w:rPr>
          <w:sz w:val="22"/>
          <w:szCs w:val="22"/>
        </w:rPr>
      </w:pPr>
      <w:r>
        <w:rPr>
          <w:sz w:val="22"/>
          <w:szCs w:val="22"/>
        </w:rPr>
      </w:r>
    </w:p>
    <w:p>
      <w:pPr>
        <w:pStyle w:val="Corpodetexto3"/>
        <w:numPr>
          <w:ilvl w:val="0"/>
          <w:numId w:val="0"/>
        </w:numPr>
        <w:spacing w:lineRule="auto" w:line="360"/>
        <w:ind w:left="0" w:hanging="0"/>
        <w:jc w:val="both"/>
        <w:rPr>
          <w:sz w:val="22"/>
          <w:szCs w:val="22"/>
        </w:rPr>
      </w:pPr>
      <w:r>
        <w:rPr>
          <w:rFonts w:eastAsia="Arial" w:cs="Arial"/>
          <w:b/>
          <w:bCs/>
          <w:color w:val="000000"/>
          <w:sz w:val="22"/>
          <w:szCs w:val="22"/>
          <w:shd w:fill="auto" w:val="clear"/>
        </w:rPr>
        <w:t>3.3.1.</w:t>
      </w:r>
      <w:r>
        <w:rPr>
          <w:rFonts w:eastAsia="Arial" w:cs="Arial"/>
          <w:color w:val="000000"/>
          <w:sz w:val="22"/>
          <w:szCs w:val="22"/>
          <w:shd w:fill="auto" w:val="clear"/>
        </w:rPr>
        <w:t xml:space="preserve"> O prazo de </w:t>
      </w:r>
      <w:r>
        <w:rPr>
          <w:rFonts w:eastAsia="Arial" w:cs="Arial"/>
          <w:b/>
          <w:bCs/>
          <w:color w:val="000000"/>
          <w:sz w:val="22"/>
          <w:szCs w:val="22"/>
          <w:shd w:fill="auto" w:val="clear"/>
        </w:rPr>
        <w:t>recebimento definitivo</w:t>
      </w:r>
      <w:r>
        <w:rPr>
          <w:rFonts w:eastAsia="Arial" w:cs="Arial"/>
          <w:color w:val="000000"/>
          <w:sz w:val="22"/>
          <w:szCs w:val="22"/>
          <w:shd w:fill="auto" w:val="clear"/>
        </w:rPr>
        <w:t xml:space="preserve">, dar-se-á em até </w:t>
      </w:r>
      <w:r>
        <w:rPr>
          <w:rFonts w:eastAsia="Arial" w:cs="Arial"/>
          <w:b/>
          <w:bCs/>
          <w:color w:val="000000"/>
          <w:sz w:val="22"/>
          <w:szCs w:val="22"/>
          <w:shd w:fill="auto" w:val="clear"/>
        </w:rPr>
        <w:t>60 (sessenta) dias</w:t>
      </w:r>
      <w:r>
        <w:rPr>
          <w:rFonts w:eastAsia="Arial" w:cs="Arial"/>
          <w:color w:val="000000"/>
          <w:sz w:val="22"/>
          <w:szCs w:val="22"/>
          <w:shd w:fill="auto" w:val="clear"/>
        </w:rPr>
        <w:t xml:space="preserve"> do recebimento provisório da última parcela ou parcela única, quando verificado a cumprimento das exigências contratuais, mediante Termo de Recebimento Definitivo emitido pelo gestor e atestado em conjunto ou não com os fiscais do contrato.</w:t>
      </w:r>
    </w:p>
    <w:p>
      <w:pPr>
        <w:pStyle w:val="Corpodetexto3"/>
        <w:numPr>
          <w:ilvl w:val="0"/>
          <w:numId w:val="0"/>
        </w:numPr>
        <w:spacing w:lineRule="auto" w:line="360"/>
        <w:ind w:left="0" w:hanging="0"/>
        <w:jc w:val="both"/>
        <w:rPr>
          <w:rFonts w:cs="Arial"/>
          <w:color w:val="000000"/>
          <w:shd w:fill="auto" w:val="clear"/>
        </w:rPr>
      </w:pPr>
      <w:r>
        <w:rPr>
          <w:rFonts w:cs="Arial"/>
          <w:color w:val="000000"/>
          <w:shd w:fill="auto" w:val="clear"/>
        </w:rPr>
      </w:r>
    </w:p>
    <w:p>
      <w:pPr>
        <w:pStyle w:val="Corpodetexto3"/>
        <w:numPr>
          <w:ilvl w:val="0"/>
          <w:numId w:val="0"/>
        </w:numPr>
        <w:spacing w:lineRule="auto" w:line="360"/>
        <w:ind w:left="0" w:hanging="0"/>
        <w:jc w:val="both"/>
        <w:rPr>
          <w:sz w:val="22"/>
          <w:szCs w:val="22"/>
        </w:rPr>
      </w:pPr>
      <w:r>
        <w:rPr>
          <w:rFonts w:cs="Arial"/>
          <w:b/>
          <w:bCs/>
          <w:color w:val="000000"/>
          <w:sz w:val="22"/>
          <w:szCs w:val="22"/>
          <w:shd w:fill="auto" w:val="clear"/>
        </w:rPr>
        <w:t>3.4.</w:t>
      </w:r>
      <w:r>
        <w:rPr>
          <w:rFonts w:cs="Arial"/>
          <w:color w:val="000000"/>
          <w:sz w:val="22"/>
          <w:szCs w:val="22"/>
          <w:shd w:fill="auto" w:val="clear"/>
        </w:rPr>
        <w:t xml:space="preserve"> </w:t>
      </w:r>
      <w:r>
        <w:rPr>
          <w:rStyle w:val="Fontepargpadro"/>
          <w:rFonts w:eastAsia="SimSun;宋体" w:cs="Times New Roman"/>
          <w:b w:val="false"/>
          <w:bCs w:val="false"/>
          <w:i w:val="false"/>
          <w:iCs w:val="false"/>
          <w:color w:val="000000"/>
          <w:kern w:val="2"/>
          <w:sz w:val="22"/>
          <w:szCs w:val="22"/>
          <w:shd w:fill="FFFFFF" w:val="clear"/>
          <w:lang w:val="pt-BR" w:eastAsia="zh-CN" w:bidi="hi-IN"/>
        </w:rPr>
        <w:t>Constatadas inconformidades na execução do objeto, a administração pública, sem prejuízo das penalidades cabíveis, poderá, rejeitá-lo no todo ou em parte se não corresponder às especificações, determinando sua substituição, determinando sua correção e/ou complementação se houver diferença de qualidade, quantidades ou de partes. As inconformidades deverão ser sanadas imediatamente, contados do recebimento pela empresa da notificação por escrito, mantido o preço inicialmente ofertado.</w:t>
      </w:r>
    </w:p>
    <w:p>
      <w:pPr>
        <w:pStyle w:val="Corpodetexto3"/>
        <w:numPr>
          <w:ilvl w:val="0"/>
          <w:numId w:val="0"/>
        </w:numPr>
        <w:spacing w:lineRule="auto" w:line="360"/>
        <w:ind w:left="0" w:hanging="0"/>
        <w:jc w:val="both"/>
        <w:rPr>
          <w:rFonts w:cs="Arial"/>
          <w:color w:val="000000"/>
          <w:shd w:fill="auto" w:val="clear"/>
        </w:rPr>
      </w:pPr>
      <w:r>
        <w:rPr>
          <w:rFonts w:cs="Arial"/>
          <w:color w:val="000000"/>
          <w:shd w:fill="auto" w:val="clear"/>
        </w:rPr>
      </w:r>
    </w:p>
    <w:p>
      <w:pPr>
        <w:pStyle w:val="Nivel01"/>
        <w:numPr>
          <w:ilvl w:val="0"/>
          <w:numId w:val="0"/>
        </w:numPr>
        <w:spacing w:lineRule="auto" w:line="360" w:before="0" w:after="0"/>
        <w:ind w:left="0" w:hanging="0"/>
        <w:rPr>
          <w:sz w:val="22"/>
          <w:szCs w:val="22"/>
        </w:rPr>
      </w:pPr>
      <w:r>
        <w:rPr>
          <w:sz w:val="22"/>
          <w:szCs w:val="22"/>
        </w:rPr>
        <w:t>CLÁUSULA QUARTA – SUBCONTRATAÇÃO</w:t>
      </w:r>
    </w:p>
    <w:p>
      <w:pPr>
        <w:pStyle w:val="Normal"/>
        <w:numPr>
          <w:ilvl w:val="0"/>
          <w:numId w:val="0"/>
        </w:numPr>
        <w:spacing w:lineRule="auto" w:line="360"/>
        <w:ind w:left="0" w:hanging="0"/>
        <w:rPr>
          <w:color w:val="FFFFFF" w:themeColor="background1"/>
          <w:sz w:val="22"/>
          <w:szCs w:val="22"/>
        </w:rPr>
      </w:pPr>
      <w:r>
        <w:rPr>
          <w:color w:val="FFFFFF" w:themeColor="background1"/>
          <w:sz w:val="22"/>
          <w:szCs w:val="22"/>
        </w:rPr>
      </w:r>
    </w:p>
    <w:p>
      <w:pPr>
        <w:pStyle w:val="Normal"/>
        <w:numPr>
          <w:ilvl w:val="0"/>
          <w:numId w:val="0"/>
        </w:numPr>
        <w:spacing w:lineRule="auto" w:line="360"/>
        <w:ind w:left="0" w:hanging="0"/>
        <w:jc w:val="both"/>
        <w:rPr>
          <w:sz w:val="22"/>
          <w:szCs w:val="22"/>
        </w:rPr>
      </w:pPr>
      <w:r>
        <w:rPr>
          <w:rFonts w:cs="Arial" w:ascii="Arial" w:hAnsi="Arial"/>
          <w:b/>
          <w:bCs/>
          <w:sz w:val="22"/>
          <w:szCs w:val="22"/>
        </w:rPr>
        <w:t>4.1.</w:t>
      </w:r>
      <w:r>
        <w:rPr>
          <w:rFonts w:cs="Arial" w:ascii="Arial" w:hAnsi="Arial"/>
          <w:sz w:val="22"/>
          <w:szCs w:val="22"/>
        </w:rPr>
        <w:t xml:space="preserve"> É vedada a subcontratação parcial do objeto, a associação da contratada com outrem, a cessão ou transferência, total ou parcial do contrato, bem como a fusão, cisão ou incorporação da contratada, não se responsabilizando o contratante por nenhum compromisso assumido por aquela com terceiros.</w:t>
      </w:r>
    </w:p>
    <w:p>
      <w:pPr>
        <w:pStyle w:val="Normal"/>
        <w:numPr>
          <w:ilvl w:val="0"/>
          <w:numId w:val="0"/>
        </w:numPr>
        <w:spacing w:lineRule="auto" w:line="360"/>
        <w:ind w:left="0" w:hanging="0"/>
        <w:jc w:val="both"/>
        <w:rPr>
          <w:sz w:val="22"/>
          <w:szCs w:val="22"/>
        </w:rPr>
      </w:pPr>
      <w:r>
        <w:rPr>
          <w:sz w:val="22"/>
          <w:szCs w:val="22"/>
        </w:rPr>
      </w:r>
    </w:p>
    <w:p>
      <w:pPr>
        <w:pStyle w:val="Nivel01"/>
        <w:numPr>
          <w:ilvl w:val="0"/>
          <w:numId w:val="0"/>
        </w:numPr>
        <w:spacing w:lineRule="auto" w:line="360" w:before="0" w:after="0"/>
        <w:ind w:left="0" w:hanging="0"/>
        <w:rPr>
          <w:sz w:val="22"/>
          <w:szCs w:val="22"/>
        </w:rPr>
      </w:pPr>
      <w:r>
        <w:rPr>
          <w:sz w:val="22"/>
          <w:szCs w:val="22"/>
        </w:rPr>
        <w:t xml:space="preserve">CLÁUSULA QUINTA – PREÇO </w:t>
      </w:r>
    </w:p>
    <w:p>
      <w:pPr>
        <w:pStyle w:val="Normal"/>
        <w:numPr>
          <w:ilvl w:val="0"/>
          <w:numId w:val="0"/>
        </w:numPr>
        <w:spacing w:lineRule="auto" w:line="360" w:before="0" w:after="0"/>
        <w:ind w:left="0" w:hanging="0"/>
        <w:rPr>
          <w:sz w:val="22"/>
          <w:szCs w:val="22"/>
        </w:rPr>
      </w:pPr>
      <w:r>
        <w:rPr>
          <w:sz w:val="22"/>
          <w:szCs w:val="22"/>
        </w:rPr>
      </w:r>
    </w:p>
    <w:p>
      <w:pPr>
        <w:pStyle w:val="Nvel2Red"/>
        <w:numPr>
          <w:ilvl w:val="0"/>
          <w:numId w:val="0"/>
        </w:numPr>
        <w:spacing w:lineRule="auto" w:line="360" w:before="0" w:after="0"/>
        <w:ind w:left="0" w:hanging="0"/>
        <w:rPr>
          <w:sz w:val="22"/>
          <w:szCs w:val="22"/>
        </w:rPr>
      </w:pPr>
      <w:r>
        <w:rPr>
          <w:b/>
          <w:bCs/>
          <w:i w:val="false"/>
          <w:iCs w:val="false"/>
          <w:color w:val="auto"/>
          <w:sz w:val="22"/>
          <w:szCs w:val="22"/>
        </w:rPr>
        <w:t>5.1.</w:t>
      </w:r>
      <w:r>
        <w:rPr>
          <w:i w:val="false"/>
          <w:iCs w:val="false"/>
          <w:color w:val="auto"/>
          <w:sz w:val="22"/>
          <w:szCs w:val="22"/>
        </w:rPr>
        <w:t xml:space="preserve"> O valor total da contratação é de R$ ________________________ (______).</w:t>
      </w:r>
    </w:p>
    <w:p>
      <w:pPr>
        <w:pStyle w:val="Nvel2Red"/>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5.2.</w:t>
      </w:r>
      <w:r>
        <w:rPr>
          <w:sz w:val="22"/>
          <w:szCs w:val="22"/>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2"/>
        <w:numPr>
          <w:ilvl w:val="0"/>
          <w:numId w:val="0"/>
        </w:numPr>
        <w:spacing w:lineRule="auto" w:line="360" w:before="0" w:after="0"/>
        <w:ind w:left="0" w:hanging="0"/>
        <w:rPr>
          <w:i w:val="false"/>
          <w:i w:val="false"/>
          <w:iCs w:val="false"/>
          <w:color w:val="auto"/>
        </w:rPr>
      </w:pPr>
      <w:r>
        <w:rPr>
          <w:i w:val="false"/>
          <w:iCs w:val="false"/>
          <w:color w:val="auto"/>
        </w:rPr>
      </w:r>
    </w:p>
    <w:p>
      <w:pPr>
        <w:pStyle w:val="Nivel2"/>
        <w:numPr>
          <w:ilvl w:val="0"/>
          <w:numId w:val="0"/>
        </w:numPr>
        <w:spacing w:lineRule="auto" w:line="360" w:before="0" w:after="0"/>
        <w:ind w:left="0" w:hanging="0"/>
        <w:rPr>
          <w:sz w:val="22"/>
          <w:szCs w:val="22"/>
        </w:rPr>
      </w:pPr>
      <w:r>
        <w:rPr>
          <w:b/>
          <w:bCs/>
          <w:i w:val="false"/>
          <w:iCs w:val="false"/>
          <w:color w:val="auto"/>
          <w:sz w:val="22"/>
          <w:szCs w:val="22"/>
        </w:rPr>
        <w:t xml:space="preserve">5.3. </w:t>
      </w:r>
      <w:r>
        <w:rPr>
          <w:i w:val="false"/>
          <w:iCs w:val="false"/>
          <w:color w:val="auto"/>
          <w:sz w:val="22"/>
          <w:szCs w:val="22"/>
        </w:rPr>
        <w:t>O valor acima é meramente estimativo, de forma que os pagamentos devidos ao contratado dependerão dos quantitativos efetivamente fornecidos.</w:t>
      </w:r>
    </w:p>
    <w:p>
      <w:pPr>
        <w:pStyle w:val="Nivel2"/>
        <w:numPr>
          <w:ilvl w:val="0"/>
          <w:numId w:val="0"/>
        </w:numPr>
        <w:spacing w:lineRule="auto" w:line="360" w:before="0" w:after="0"/>
        <w:ind w:left="0" w:hanging="0"/>
        <w:rPr>
          <w:i w:val="false"/>
          <w:i w:val="false"/>
          <w:iCs w:val="false"/>
          <w:color w:val="auto"/>
        </w:rPr>
      </w:pPr>
      <w:r>
        <w:rPr>
          <w:i w:val="false"/>
          <w:iCs w:val="false"/>
          <w:color w:val="auto"/>
        </w:rPr>
      </w:r>
    </w:p>
    <w:p>
      <w:pPr>
        <w:pStyle w:val="Nivel01"/>
        <w:numPr>
          <w:ilvl w:val="0"/>
          <w:numId w:val="0"/>
        </w:numPr>
        <w:spacing w:before="0" w:after="0"/>
        <w:ind w:left="0" w:hanging="0"/>
        <w:rPr>
          <w:sz w:val="22"/>
          <w:szCs w:val="22"/>
        </w:rPr>
      </w:pPr>
      <w:r>
        <w:rPr>
          <w:sz w:val="22"/>
          <w:szCs w:val="22"/>
        </w:rPr>
        <w:t>CLÁUSULA SEXTA – PAGAMENTO</w:t>
      </w:r>
    </w:p>
    <w:p>
      <w:pPr>
        <w:pStyle w:val="Normal"/>
        <w:numPr>
          <w:ilvl w:val="0"/>
          <w:numId w:val="0"/>
        </w:numPr>
        <w:ind w:left="0" w:hanging="0"/>
        <w:rPr>
          <w:sz w:val="22"/>
          <w:szCs w:val="22"/>
        </w:rPr>
      </w:pPr>
      <w:r>
        <w:rPr>
          <w:sz w:val="22"/>
          <w:szCs w:val="22"/>
        </w:rPr>
      </w:r>
    </w:p>
    <w:p>
      <w:pPr>
        <w:pStyle w:val="Normal"/>
        <w:numPr>
          <w:ilvl w:val="0"/>
          <w:numId w:val="0"/>
        </w:numPr>
        <w:ind w:left="360" w:hanging="0"/>
        <w:rPr>
          <w:rFonts w:ascii="Arial" w:hAnsi="Arial"/>
          <w:sz w:val="22"/>
          <w:szCs w:val="22"/>
        </w:rPr>
      </w:pPr>
      <w:r>
        <w:rPr>
          <w:rFonts w:ascii="Arial" w:hAnsi="Arial"/>
          <w:sz w:val="22"/>
          <w:szCs w:val="22"/>
        </w:rPr>
      </w:r>
    </w:p>
    <w:p>
      <w:pPr>
        <w:pStyle w:val="Normal"/>
        <w:numPr>
          <w:ilvl w:val="0"/>
          <w:numId w:val="0"/>
        </w:numPr>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0" w:hanging="0"/>
        <w:jc w:val="both"/>
        <w:rPr>
          <w:sz w:val="22"/>
          <w:szCs w:val="22"/>
        </w:rPr>
      </w:pPr>
      <w:r>
        <w:rPr>
          <w:rFonts w:eastAsia="Tahoma" w:cs="Arial" w:ascii="Arial" w:hAnsi="Arial"/>
          <w:b/>
          <w:bCs/>
          <w:sz w:val="22"/>
          <w:szCs w:val="22"/>
          <w:shd w:fill="auto" w:val="clear"/>
        </w:rPr>
        <w:t>6.1.</w:t>
      </w:r>
      <w:r>
        <w:rPr>
          <w:rFonts w:eastAsia="Tahoma" w:cs="Arial" w:ascii="Arial" w:hAnsi="Arial"/>
          <w:sz w:val="22"/>
          <w:szCs w:val="22"/>
          <w:shd w:fill="auto" w:val="clear"/>
        </w:rPr>
        <w:t xml:space="preserve"> O pagamento será efetuado por meio de 02 (duas) medições: 30 (trinta), 60 (sessenta) dias após o término de cada etapa dos serviços, mediante apresentação pela CONTRATADA </w:t>
      </w:r>
      <w:r>
        <w:rPr>
          <w:rFonts w:eastAsia="Tahoma" w:cs="Arial Narrow" w:ascii="Arial" w:hAnsi="Arial"/>
          <w:sz w:val="22"/>
          <w:szCs w:val="22"/>
          <w:shd w:fill="auto" w:val="clear"/>
        </w:rPr>
        <w:t>dos respectivos documentos fiscais, relatórios fotográficos, diário de obras e dos demais documentos relacionados no Edital</w:t>
      </w:r>
      <w:r>
        <w:rPr>
          <w:rFonts w:eastAsia="Tahoma" w:cs="Arial" w:ascii="Arial" w:hAnsi="Arial"/>
          <w:sz w:val="22"/>
          <w:szCs w:val="22"/>
          <w:shd w:fill="auto" w:val="clear"/>
        </w:rPr>
        <w:t xml:space="preserve">, com os serviços efetivamente executados e aceitos, no período abrangido pelo Boletim de Medição e Relatório de Acompanhamento e Fiscalização elaborados pelo representante designado na Cláusula terceira, na presença do preposto do Contrato, documentos (2ª vias) que deverá ser anexado ao título de cobrança dos serviços emitidos pela Contratada. </w:t>
      </w:r>
    </w:p>
    <w:p>
      <w:pPr>
        <w:pStyle w:val="Normal"/>
        <w:numPr>
          <w:ilvl w:val="0"/>
          <w:numId w:val="0"/>
        </w:numPr>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0" w:hanging="0"/>
        <w:jc w:val="both"/>
        <w:rPr>
          <w:sz w:val="22"/>
          <w:szCs w:val="22"/>
        </w:rPr>
      </w:pPr>
      <w:r>
        <w:rPr>
          <w:sz w:val="22"/>
          <w:szCs w:val="22"/>
        </w:rPr>
      </w:r>
    </w:p>
    <w:p>
      <w:pPr>
        <w:pStyle w:val="Normal"/>
        <w:numPr>
          <w:ilvl w:val="0"/>
          <w:numId w:val="0"/>
        </w:numPr>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0" w:hanging="0"/>
        <w:jc w:val="both"/>
        <w:rPr>
          <w:sz w:val="22"/>
          <w:szCs w:val="22"/>
        </w:rPr>
      </w:pPr>
      <w:r>
        <w:rPr>
          <w:rFonts w:eastAsia="Tahoma" w:cs="Arial" w:ascii="Arial" w:hAnsi="Arial"/>
          <w:b/>
          <w:bCs/>
          <w:sz w:val="22"/>
          <w:szCs w:val="22"/>
          <w:shd w:fill="auto" w:val="clear"/>
        </w:rPr>
        <w:t xml:space="preserve">6.1.1. </w:t>
      </w:r>
      <w:r>
        <w:rPr>
          <w:rFonts w:eastAsia="Tahoma" w:cs="Arial" w:ascii="Arial" w:hAnsi="Arial"/>
          <w:b w:val="false"/>
          <w:bCs w:val="false"/>
          <w:sz w:val="22"/>
          <w:szCs w:val="22"/>
          <w:shd w:fill="auto" w:val="clear"/>
        </w:rPr>
        <w:t>Deve ser apresentada</w:t>
      </w:r>
      <w:r>
        <w:rPr>
          <w:rFonts w:eastAsia="Tahoma" w:cs="Arial" w:ascii="Arial" w:hAnsi="Arial"/>
          <w:sz w:val="22"/>
          <w:szCs w:val="22"/>
          <w:shd w:fill="auto" w:val="clear"/>
        </w:rPr>
        <w:t xml:space="preserve"> relação de funcionários de acordo com o objeto do contrato.</w:t>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0" w:hanging="0"/>
        <w:jc w:val="both"/>
        <w:rPr>
          <w:sz w:val="22"/>
          <w:szCs w:val="22"/>
          <w:highlight w:val="none"/>
          <w:shd w:fill="auto" w:val="clear"/>
        </w:rPr>
      </w:pPr>
      <w:r>
        <w:rPr>
          <w:sz w:val="22"/>
          <w:szCs w:val="22"/>
          <w:shd w:fill="auto" w:val="clear"/>
        </w:rPr>
      </w:r>
    </w:p>
    <w:p>
      <w:pPr>
        <w:pStyle w:val="Normal"/>
        <w:numPr>
          <w:ilvl w:val="0"/>
          <w:numId w:val="0"/>
        </w:numPr>
        <w:spacing w:lineRule="auto" w:line="360"/>
        <w:ind w:left="0" w:hanging="0"/>
        <w:jc w:val="both"/>
        <w:rPr>
          <w:sz w:val="22"/>
          <w:szCs w:val="22"/>
        </w:rPr>
      </w:pPr>
      <w:r>
        <w:rPr>
          <w:rFonts w:cs="Arial" w:ascii="Arial" w:hAnsi="Arial"/>
          <w:b/>
          <w:bCs/>
          <w:sz w:val="22"/>
          <w:szCs w:val="22"/>
        </w:rPr>
        <w:t>6.2.</w:t>
      </w:r>
      <w:r>
        <w:rPr>
          <w:rFonts w:cs="Arial" w:ascii="Arial" w:hAnsi="Arial"/>
          <w:sz w:val="22"/>
          <w:szCs w:val="22"/>
        </w:rPr>
        <w:t xml:space="preserve"> Os pagamentos serão efetuados pelo Município de Quissamã, por intermédio do FUNDO MUNICIPAL DE DESENVOLVIMENTO ECONÔMICO em moeda corrente nacional, em 30 dias corridos, contados da emissão do Termo de Recebimento Definitivo dos SERVIÇOS,</w:t>
      </w:r>
      <w:r>
        <w:rPr>
          <w:rFonts w:cs="Arial" w:ascii="Arial" w:hAnsi="Arial"/>
          <w:sz w:val="22"/>
          <w:szCs w:val="22"/>
          <w:shd w:fill="auto" w:val="clear"/>
        </w:rPr>
        <w:t xml:space="preserve"> na forma do item 5.2.</w:t>
      </w:r>
      <w:r>
        <w:rPr>
          <w:rFonts w:cs="Arial" w:ascii="Arial" w:hAnsi="Arial"/>
          <w:sz w:val="22"/>
          <w:szCs w:val="22"/>
        </w:rPr>
        <w:t xml:space="preserve"> os pagamentos seguirão conforme Art. 141 da Lei 14.133/2021.</w:t>
      </w:r>
    </w:p>
    <w:p>
      <w:pPr>
        <w:pStyle w:val="Normal"/>
        <w:numPr>
          <w:ilvl w:val="0"/>
          <w:numId w:val="0"/>
        </w:numPr>
        <w:spacing w:lineRule="auto" w:line="360"/>
        <w:ind w:left="0" w:hanging="0"/>
        <w:jc w:val="both"/>
        <w:rPr>
          <w:rFonts w:ascii="Arial" w:hAnsi="Arial" w:cs="Arial"/>
        </w:rPr>
      </w:pPr>
      <w:r>
        <w:rPr>
          <w:rFonts w:cs="Arial" w:ascii="Arial" w:hAnsi="Arial"/>
        </w:rPr>
      </w:r>
    </w:p>
    <w:p>
      <w:pPr>
        <w:pStyle w:val="Normal"/>
        <w:spacing w:lineRule="auto" w:line="360"/>
        <w:ind w:left="0" w:hanging="0"/>
        <w:jc w:val="both"/>
        <w:rPr>
          <w:sz w:val="22"/>
          <w:szCs w:val="22"/>
        </w:rPr>
      </w:pPr>
      <w:r>
        <w:rPr>
          <w:rFonts w:cs="Arial" w:ascii="Arial" w:hAnsi="Arial"/>
          <w:b/>
          <w:bCs/>
          <w:sz w:val="22"/>
          <w:szCs w:val="22"/>
        </w:rPr>
        <w:t>6.2.2.</w:t>
      </w:r>
      <w:r>
        <w:rPr>
          <w:rFonts w:cs="Arial" w:ascii="Arial" w:hAnsi="Arial"/>
          <w:sz w:val="22"/>
          <w:szCs w:val="22"/>
        </w:rPr>
        <w:t xml:space="preserve"> A Contratada não poderá suspender o cumprimento de suas obrigações, à exceção do disposto no artigo 137, §2º, IV, da Lei Federal nº 14.133/2021, devendo tolerar possíveis atrasos de pagamento. </w:t>
      </w:r>
    </w:p>
    <w:p>
      <w:pPr>
        <w:pStyle w:val="Normal"/>
        <w:spacing w:lineRule="auto" w:line="360"/>
        <w:ind w:left="0" w:hanging="0"/>
        <w:jc w:val="both"/>
        <w:rPr>
          <w:rFonts w:ascii="Arial" w:hAnsi="Arial" w:cs="Arial"/>
          <w:sz w:val="20"/>
          <w:szCs w:val="20"/>
        </w:rPr>
      </w:pPr>
      <w:r>
        <w:rPr>
          <w:rFonts w:cs="Arial" w:ascii="Arial" w:hAnsi="Arial"/>
          <w:sz w:val="20"/>
          <w:szCs w:val="20"/>
        </w:rPr>
      </w:r>
    </w:p>
    <w:p>
      <w:pPr>
        <w:pStyle w:val="Normal"/>
        <w:numPr>
          <w:ilvl w:val="0"/>
          <w:numId w:val="0"/>
        </w:numPr>
        <w:spacing w:lineRule="auto" w:line="360"/>
        <w:ind w:left="0" w:hanging="0"/>
        <w:jc w:val="both"/>
        <w:rPr>
          <w:sz w:val="22"/>
          <w:szCs w:val="22"/>
        </w:rPr>
      </w:pPr>
      <w:r>
        <w:rPr>
          <w:rFonts w:cs="Arial" w:ascii="Arial" w:hAnsi="Arial"/>
          <w:b/>
          <w:bCs/>
          <w:sz w:val="22"/>
          <w:szCs w:val="22"/>
        </w:rPr>
        <w:t>6.3.</w:t>
      </w:r>
      <w:r>
        <w:rPr>
          <w:rFonts w:cs="Arial" w:ascii="Arial" w:hAnsi="Arial"/>
          <w:sz w:val="22"/>
          <w:szCs w:val="22"/>
        </w:rPr>
        <w:t xml:space="preserve"> Nos casos de atraso no pagamento por culpa da contratante, o valor devido será acrescido de taxa de 0,5% ao mês, calculado pro rata die entre o 31° (trigésimo primeiro) dia da data do adimplemento da obrigação e a data do efetivo pagamento. No caso de antecipação do pagamento, salvo em condições excepcionalíssimas devidamente justificadas, o valor devido sofrerá desconto à taxa de 0,5% ao mês, calculado pro rata die entre a data do efetivo pagamento e o 30º (trigésimo) dia da data do adimplemento da obrigação. </w:t>
      </w:r>
    </w:p>
    <w:p>
      <w:pPr>
        <w:pStyle w:val="Normal"/>
        <w:spacing w:lineRule="auto" w:line="360"/>
        <w:ind w:left="0" w:hanging="0"/>
        <w:jc w:val="both"/>
        <w:rPr>
          <w:rFonts w:ascii="Arial" w:hAnsi="Arial" w:cs="Arial"/>
          <w:sz w:val="22"/>
          <w:szCs w:val="22"/>
        </w:rPr>
      </w:pPr>
      <w:r>
        <w:rPr>
          <w:rFonts w:cs="Arial" w:ascii="Arial" w:hAnsi="Arial"/>
          <w:sz w:val="22"/>
          <w:szCs w:val="22"/>
        </w:rPr>
      </w:r>
    </w:p>
    <w:p>
      <w:pPr>
        <w:pStyle w:val="Normal"/>
        <w:numPr>
          <w:ilvl w:val="0"/>
          <w:numId w:val="0"/>
        </w:numPr>
        <w:spacing w:lineRule="auto" w:line="360"/>
        <w:ind w:left="0" w:hanging="0"/>
        <w:jc w:val="both"/>
        <w:rPr>
          <w:sz w:val="22"/>
          <w:szCs w:val="22"/>
        </w:rPr>
      </w:pPr>
      <w:r>
        <w:rPr>
          <w:rFonts w:cs="Arial" w:ascii="Arial" w:hAnsi="Arial"/>
          <w:b/>
          <w:bCs/>
          <w:sz w:val="22"/>
          <w:szCs w:val="22"/>
        </w:rPr>
        <w:t>6.4.</w:t>
      </w:r>
      <w:r>
        <w:rPr>
          <w:rFonts w:cs="Arial" w:ascii="Arial" w:hAnsi="Arial"/>
          <w:sz w:val="22"/>
          <w:szCs w:val="22"/>
        </w:rPr>
        <w:t xml:space="preserve"> A contratante estará eximida de cumprir os itens relativos às compensações financeiras nos casos em que a contratada houver concorrido direta ou indiretamente para a ocorrência do atraso. </w:t>
      </w:r>
    </w:p>
    <w:p>
      <w:pPr>
        <w:pStyle w:val="Normal"/>
        <w:spacing w:lineRule="auto" w:line="360"/>
        <w:ind w:left="0" w:hanging="0"/>
        <w:jc w:val="both"/>
        <w:rPr>
          <w:rFonts w:ascii="Arial" w:hAnsi="Arial" w:cs="Arial"/>
          <w:sz w:val="22"/>
          <w:szCs w:val="22"/>
        </w:rPr>
      </w:pPr>
      <w:r>
        <w:rPr>
          <w:rFonts w:cs="Arial" w:ascii="Arial" w:hAnsi="Arial"/>
          <w:sz w:val="22"/>
          <w:szCs w:val="22"/>
        </w:rPr>
      </w:r>
    </w:p>
    <w:p>
      <w:pPr>
        <w:pStyle w:val="Normal"/>
        <w:numPr>
          <w:ilvl w:val="0"/>
          <w:numId w:val="0"/>
        </w:numPr>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0" w:hanging="0"/>
        <w:jc w:val="both"/>
        <w:rPr>
          <w:sz w:val="22"/>
          <w:szCs w:val="22"/>
        </w:rPr>
      </w:pPr>
      <w:r>
        <w:rPr>
          <w:rFonts w:eastAsia="Tahoma" w:cs="Arial" w:ascii="Arial" w:hAnsi="Arial"/>
          <w:b/>
          <w:bCs/>
          <w:sz w:val="22"/>
          <w:szCs w:val="22"/>
        </w:rPr>
        <w:t>6.5.</w:t>
      </w:r>
      <w:r>
        <w:rPr>
          <w:rFonts w:eastAsia="Tahoma" w:cs="Arial" w:ascii="Arial" w:hAnsi="Arial"/>
          <w:sz w:val="22"/>
          <w:szCs w:val="22"/>
        </w:rPr>
        <w:t xml:space="preserve"> Nos termos do inciso VI, do artigo 30, da Lei 8.212/91 e do inciso III, do § 3º do artigo 220 do Decreto n.º 3048/99, haverá retenção de 11% sobre o valor bruto da Nota Fiscal ou fatura. O valor retido deverá ser destacado na Nota Fiscal ou fatura da prestação de serviço, para fins de recolhimento à Previdência Social em nome da contratada, até o dia 02 (dois) do mês subsequente ao da emissão da nota fiscal ou fatura.</w:t>
      </w:r>
    </w:p>
    <w:p>
      <w:pPr>
        <w:pStyle w:val="Normal"/>
        <w:numPr>
          <w:ilvl w:val="0"/>
          <w:numId w:val="0"/>
        </w:numPr>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0" w:hanging="0"/>
        <w:jc w:val="both"/>
        <w:rPr>
          <w:rFonts w:ascii="Arial" w:hAnsi="Arial" w:cs="Arial"/>
          <w:sz w:val="20"/>
          <w:szCs w:val="20"/>
        </w:rPr>
      </w:pPr>
      <w:r>
        <w:rPr>
          <w:rFonts w:cs="Arial" w:ascii="Arial" w:hAnsi="Arial"/>
          <w:sz w:val="20"/>
          <w:szCs w:val="20"/>
        </w:rPr>
      </w:r>
    </w:p>
    <w:p>
      <w:pPr>
        <w:pStyle w:val="Normal"/>
        <w:numPr>
          <w:ilvl w:val="0"/>
          <w:numId w:val="0"/>
        </w:numPr>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0" w:hanging="0"/>
        <w:jc w:val="both"/>
        <w:rPr>
          <w:sz w:val="22"/>
          <w:szCs w:val="22"/>
        </w:rPr>
      </w:pPr>
      <w:r>
        <w:rPr>
          <w:rFonts w:eastAsia="Tahoma" w:cs="Arial" w:ascii="Arial" w:hAnsi="Arial"/>
          <w:b/>
          <w:bCs/>
          <w:sz w:val="22"/>
          <w:szCs w:val="22"/>
        </w:rPr>
        <w:t>6.6.</w:t>
      </w:r>
      <w:r>
        <w:rPr>
          <w:rFonts w:eastAsia="Tahoma" w:cs="Arial" w:ascii="Arial" w:hAnsi="Arial"/>
          <w:sz w:val="22"/>
          <w:szCs w:val="22"/>
        </w:rPr>
        <w:t xml:space="preserve"> Cabe à CONTRATADA a comprovação da não incidência e/ou da dispensa da retenção estabelecida no </w:t>
      </w:r>
      <w:r>
        <w:rPr>
          <w:rFonts w:eastAsia="Tahoma" w:cs="Arial" w:ascii="Arial" w:hAnsi="Arial"/>
          <w:sz w:val="22"/>
          <w:szCs w:val="22"/>
          <w:shd w:fill="auto" w:val="clear"/>
        </w:rPr>
        <w:t>parágrafo terceiro,</w:t>
      </w:r>
      <w:r>
        <w:rPr>
          <w:rFonts w:eastAsia="Tahoma" w:cs="Arial" w:ascii="Arial" w:hAnsi="Arial"/>
          <w:sz w:val="22"/>
          <w:szCs w:val="22"/>
        </w:rPr>
        <w:t xml:space="preserve"> conforme previstas na legislação previdenciária (LF 8.212/91 e Regulamento autorizado pelo decreto 3048/99).</w:t>
      </w:r>
    </w:p>
    <w:p>
      <w:pPr>
        <w:pStyle w:val="Normal"/>
        <w:numPr>
          <w:ilvl w:val="0"/>
          <w:numId w:val="0"/>
        </w:numPr>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0" w:hanging="0"/>
        <w:jc w:val="both"/>
        <w:rPr>
          <w:sz w:val="22"/>
          <w:szCs w:val="22"/>
        </w:rPr>
      </w:pPr>
      <w:r>
        <w:rPr>
          <w:sz w:val="22"/>
          <w:szCs w:val="22"/>
        </w:rPr>
      </w:r>
    </w:p>
    <w:p>
      <w:pPr>
        <w:pStyle w:val="Normal"/>
        <w:numPr>
          <w:ilvl w:val="0"/>
          <w:numId w:val="0"/>
        </w:numPr>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0" w:hanging="0"/>
        <w:jc w:val="both"/>
        <w:rPr>
          <w:sz w:val="22"/>
          <w:szCs w:val="22"/>
        </w:rPr>
      </w:pPr>
      <w:r>
        <w:rPr>
          <w:sz w:val="22"/>
          <w:szCs w:val="22"/>
        </w:rPr>
      </w:r>
    </w:p>
    <w:p>
      <w:pPr>
        <w:pStyle w:val="Normal"/>
        <w:numPr>
          <w:ilvl w:val="0"/>
          <w:numId w:val="0"/>
        </w:numPr>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0" w:hanging="0"/>
        <w:jc w:val="both"/>
        <w:rPr>
          <w:sz w:val="22"/>
          <w:szCs w:val="22"/>
        </w:rPr>
      </w:pPr>
      <w:r>
        <w:rPr>
          <w:sz w:val="22"/>
          <w:szCs w:val="22"/>
        </w:rPr>
      </w:r>
    </w:p>
    <w:p>
      <w:pPr>
        <w:pStyle w:val="Normal"/>
        <w:numPr>
          <w:ilvl w:val="0"/>
          <w:numId w:val="0"/>
        </w:numPr>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0" w:hanging="0"/>
        <w:jc w:val="both"/>
        <w:rPr>
          <w:sz w:val="22"/>
          <w:szCs w:val="22"/>
        </w:rPr>
      </w:pPr>
      <w:r>
        <w:rPr>
          <w:rFonts w:eastAsia="Tahoma" w:cs="Arial" w:ascii="Arial" w:hAnsi="Arial"/>
          <w:b/>
          <w:bCs/>
          <w:sz w:val="22"/>
          <w:szCs w:val="22"/>
        </w:rPr>
        <w:t>6.7.</w:t>
      </w:r>
      <w:r>
        <w:rPr>
          <w:rFonts w:eastAsia="Tahoma" w:cs="Arial" w:ascii="Arial" w:hAnsi="Arial"/>
          <w:sz w:val="22"/>
          <w:szCs w:val="22"/>
        </w:rPr>
        <w:t xml:space="preserve"> Na prestação de serviços de obras e serviços a CONTRATADA apresentará </w:t>
      </w:r>
      <w:r>
        <w:rPr>
          <w:rFonts w:eastAsia="Tahoma" w:cs="Arial" w:ascii="Arial" w:hAnsi="Arial"/>
          <w:b/>
          <w:sz w:val="22"/>
          <w:szCs w:val="22"/>
        </w:rPr>
        <w:t>separadamente</w:t>
      </w:r>
      <w:r>
        <w:rPr>
          <w:rFonts w:eastAsia="Tahoma" w:cs="Arial" w:ascii="Arial" w:hAnsi="Arial"/>
          <w:sz w:val="22"/>
          <w:szCs w:val="22"/>
        </w:rPr>
        <w:t xml:space="preserve"> a Nota Fiscal relativa à mão de obra empregada, em conformidade com a legislação previdenciária (LF 8.212/91 e Regulamento autorizado pelo decreto 3048/99).</w:t>
      </w:r>
    </w:p>
    <w:p>
      <w:pPr>
        <w:pStyle w:val="Normal"/>
        <w:numPr>
          <w:ilvl w:val="0"/>
          <w:numId w:val="0"/>
        </w:numPr>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276"/>
        <w:ind w:left="0" w:hanging="0"/>
        <w:jc w:val="both"/>
        <w:rPr>
          <w:rFonts w:ascii="Arial" w:hAnsi="Arial" w:eastAsia="Tahoma" w:cs="Arial"/>
        </w:rPr>
      </w:pPr>
      <w:r>
        <w:rPr>
          <w:rFonts w:eastAsia="Tahoma" w:cs="Arial" w:ascii="Arial" w:hAnsi="Arial"/>
        </w:rPr>
      </w:r>
    </w:p>
    <w:p>
      <w:pPr>
        <w:pStyle w:val="ListParagraph"/>
        <w:numPr>
          <w:ilvl w:val="0"/>
          <w:numId w:val="0"/>
        </w:numPr>
        <w:tabs>
          <w:tab w:val="clear" w:pos="708"/>
          <w:tab w:val="left" w:pos="938" w:leader="none"/>
        </w:tabs>
        <w:spacing w:lineRule="auto" w:line="360" w:before="1" w:after="0"/>
        <w:ind w:left="0" w:right="130" w:hanging="0"/>
        <w:contextualSpacing w:val="false"/>
        <w:jc w:val="both"/>
        <w:rPr/>
      </w:pPr>
      <w:r>
        <w:rPr>
          <w:rStyle w:val="Fontepargpadro"/>
          <w:rFonts w:cs="Arial" w:ascii="Arial" w:hAnsi="Arial"/>
          <w:b/>
          <w:bCs/>
          <w:sz w:val="22"/>
          <w:szCs w:val="22"/>
        </w:rPr>
        <w:t>6.7.1.</w:t>
      </w:r>
      <w:r>
        <w:rPr>
          <w:rStyle w:val="Fontepargpadro"/>
          <w:rFonts w:cs="Arial" w:ascii="Arial" w:hAnsi="Arial"/>
          <w:sz w:val="22"/>
          <w:szCs w:val="22"/>
        </w:rPr>
        <w:t xml:space="preserve"> A Nota Fiscal ou Fatura deverá ser obrigatoriamente acompanhada da comprovação da regularidade fiscal, constatada por meio da apresentação do</w:t>
      </w:r>
      <w:r>
        <w:rPr>
          <w:rStyle w:val="Fontepargpadro1"/>
          <w:rFonts w:eastAsia="Arial" w:cs="Arial" w:ascii="Arial" w:hAnsi="Arial"/>
          <w:color w:val="000000"/>
          <w:sz w:val="22"/>
          <w:szCs w:val="22"/>
        </w:rPr>
        <w:t>s seguintes documentos:</w:t>
      </w:r>
    </w:p>
    <w:p>
      <w:pPr>
        <w:pStyle w:val="Normal"/>
        <w:widowControl w:val="false"/>
        <w:numPr>
          <w:ilvl w:val="0"/>
          <w:numId w:val="0"/>
        </w:numPr>
        <w:bidi w:val="0"/>
        <w:spacing w:lineRule="auto" w:line="276" w:before="0" w:after="0"/>
        <w:ind w:left="0" w:right="0" w:hanging="0"/>
        <w:jc w:val="both"/>
        <w:rPr>
          <w:rFonts w:ascii="Arial" w:hAnsi="Arial"/>
          <w:sz w:val="22"/>
          <w:szCs w:val="22"/>
        </w:rPr>
      </w:pPr>
      <w:r>
        <w:rPr>
          <w:rFonts w:ascii="Arial" w:hAnsi="Arial"/>
          <w:sz w:val="22"/>
          <w:szCs w:val="22"/>
        </w:rPr>
      </w:r>
    </w:p>
    <w:p>
      <w:pPr>
        <w:pStyle w:val="Normal"/>
        <w:widowControl w:val="false"/>
        <w:numPr>
          <w:ilvl w:val="0"/>
          <w:numId w:val="0"/>
        </w:numPr>
        <w:bidi w:val="0"/>
        <w:spacing w:lineRule="auto" w:line="360" w:before="0" w:after="0"/>
        <w:ind w:left="0" w:right="0" w:hanging="0"/>
        <w:jc w:val="both"/>
        <w:rPr>
          <w:sz w:val="22"/>
          <w:szCs w:val="22"/>
        </w:rPr>
      </w:pPr>
      <w:r>
        <w:rPr>
          <w:rFonts w:eastAsia="Arial" w:cs="Arial" w:ascii="Arial" w:hAnsi="Arial"/>
          <w:b/>
          <w:bCs/>
          <w:color w:val="000000"/>
          <w:sz w:val="22"/>
          <w:szCs w:val="22"/>
        </w:rPr>
        <w:t>a)</w:t>
      </w:r>
      <w:r>
        <w:rPr>
          <w:rFonts w:eastAsia="Arial" w:cs="Arial" w:ascii="Arial" w:hAnsi="Arial"/>
          <w:b/>
          <w:color w:val="000000"/>
          <w:sz w:val="22"/>
          <w:szCs w:val="22"/>
        </w:rPr>
        <w:t xml:space="preserve"> </w:t>
      </w:r>
      <w:r>
        <w:rPr>
          <w:rFonts w:eastAsia="Arial" w:cs="Arial" w:ascii="Arial" w:hAnsi="Arial"/>
          <w:color w:val="000000"/>
          <w:sz w:val="22"/>
          <w:szCs w:val="22"/>
        </w:rPr>
        <w:t>Prova de regularidade relativa a débitos federais;</w:t>
      </w:r>
    </w:p>
    <w:p>
      <w:pPr>
        <w:pStyle w:val="Normal"/>
        <w:widowControl w:val="false"/>
        <w:numPr>
          <w:ilvl w:val="0"/>
          <w:numId w:val="0"/>
        </w:numPr>
        <w:bidi w:val="0"/>
        <w:spacing w:lineRule="auto" w:line="360" w:before="0" w:after="0"/>
        <w:ind w:left="0" w:right="0" w:hanging="0"/>
        <w:jc w:val="both"/>
        <w:rPr>
          <w:sz w:val="22"/>
          <w:szCs w:val="22"/>
        </w:rPr>
      </w:pPr>
      <w:r>
        <w:rPr>
          <w:rFonts w:eastAsia="Arial" w:cs="Arial" w:ascii="Arial" w:hAnsi="Arial"/>
          <w:b/>
          <w:bCs/>
          <w:color w:val="000000"/>
          <w:sz w:val="22"/>
          <w:szCs w:val="22"/>
        </w:rPr>
        <w:t>b)</w:t>
      </w:r>
      <w:r>
        <w:rPr>
          <w:rFonts w:eastAsia="Arial" w:cs="Arial" w:ascii="Arial" w:hAnsi="Arial"/>
          <w:b/>
          <w:color w:val="000000"/>
          <w:sz w:val="22"/>
          <w:szCs w:val="22"/>
        </w:rPr>
        <w:t xml:space="preserve"> </w:t>
      </w:r>
      <w:r>
        <w:rPr>
          <w:rFonts w:eastAsia="Arial" w:cs="Arial" w:ascii="Arial" w:hAnsi="Arial"/>
          <w:color w:val="000000"/>
          <w:sz w:val="22"/>
          <w:szCs w:val="22"/>
        </w:rPr>
        <w:t>Prova de regularidade relativa ao Fundo de Garantia por Tempo de Serviços (FGTS), mediante apresentação de guias pagas e Certidões de Regularidade da Situação/CRF;</w:t>
      </w:r>
    </w:p>
    <w:p>
      <w:pPr>
        <w:pStyle w:val="Normal"/>
        <w:widowControl w:val="false"/>
        <w:numPr>
          <w:ilvl w:val="0"/>
          <w:numId w:val="0"/>
        </w:numPr>
        <w:bidi w:val="0"/>
        <w:spacing w:lineRule="auto" w:line="360" w:before="0" w:after="0"/>
        <w:ind w:left="0" w:right="0" w:hanging="0"/>
        <w:jc w:val="both"/>
        <w:rPr>
          <w:sz w:val="22"/>
          <w:szCs w:val="22"/>
        </w:rPr>
      </w:pPr>
      <w:r>
        <w:rPr>
          <w:rFonts w:eastAsia="Arial" w:cs="Arial" w:ascii="Arial" w:hAnsi="Arial"/>
          <w:b/>
          <w:bCs/>
          <w:color w:val="000000"/>
          <w:sz w:val="22"/>
          <w:szCs w:val="22"/>
        </w:rPr>
        <w:t>c)</w:t>
      </w:r>
      <w:r>
        <w:rPr>
          <w:rFonts w:eastAsia="Arial" w:cs="Arial" w:ascii="Arial" w:hAnsi="Arial"/>
          <w:b/>
          <w:color w:val="000000"/>
          <w:sz w:val="22"/>
          <w:szCs w:val="22"/>
        </w:rPr>
        <w:t xml:space="preserve"> </w:t>
      </w:r>
      <w:r>
        <w:rPr>
          <w:rFonts w:eastAsia="Arial" w:cs="Arial" w:ascii="Arial" w:hAnsi="Arial"/>
          <w:color w:val="000000"/>
          <w:sz w:val="22"/>
          <w:szCs w:val="22"/>
        </w:rPr>
        <w:t>Prova de regularidade perante a Justiça do Trabalho;</w:t>
      </w:r>
    </w:p>
    <w:p>
      <w:pPr>
        <w:pStyle w:val="Normal"/>
        <w:widowControl w:val="false"/>
        <w:numPr>
          <w:ilvl w:val="0"/>
          <w:numId w:val="0"/>
        </w:numPr>
        <w:bidi w:val="0"/>
        <w:spacing w:lineRule="auto" w:line="360" w:before="0" w:after="0"/>
        <w:ind w:left="0" w:right="0" w:hanging="0"/>
        <w:jc w:val="both"/>
        <w:rPr/>
      </w:pPr>
      <w:r>
        <w:rPr>
          <w:rStyle w:val="Fontepargpadro1"/>
          <w:rFonts w:eastAsia="Arial" w:cs="Arial" w:ascii="Arial" w:hAnsi="Arial"/>
          <w:b/>
          <w:bCs/>
          <w:color w:val="000000"/>
          <w:sz w:val="22"/>
          <w:szCs w:val="22"/>
        </w:rPr>
        <w:t>d)</w:t>
      </w:r>
      <w:r>
        <w:rPr>
          <w:rStyle w:val="Fontepargpadro1"/>
          <w:rFonts w:eastAsia="Arial" w:cs="Arial" w:ascii="Arial" w:hAnsi="Arial"/>
          <w:b/>
          <w:color w:val="000000"/>
          <w:sz w:val="22"/>
          <w:szCs w:val="22"/>
        </w:rPr>
        <w:t xml:space="preserve"> </w:t>
      </w:r>
      <w:r>
        <w:rPr>
          <w:rStyle w:val="Fontepargpadro1"/>
          <w:rFonts w:eastAsia="Arial" w:cs="Arial" w:ascii="Arial" w:hAnsi="Arial"/>
          <w:color w:val="000000"/>
          <w:sz w:val="22"/>
          <w:szCs w:val="22"/>
        </w:rPr>
        <w:t>Prova de regularidade perante a Procuradoria Estadual;</w:t>
      </w:r>
    </w:p>
    <w:p>
      <w:pPr>
        <w:pStyle w:val="Normal"/>
        <w:widowControl w:val="false"/>
        <w:numPr>
          <w:ilvl w:val="0"/>
          <w:numId w:val="0"/>
        </w:numPr>
        <w:bidi w:val="0"/>
        <w:spacing w:lineRule="auto" w:line="360" w:before="0" w:after="0"/>
        <w:ind w:left="0" w:right="0" w:hanging="0"/>
        <w:jc w:val="both"/>
        <w:rPr/>
      </w:pPr>
      <w:r>
        <w:rPr>
          <w:rStyle w:val="Fontepargpadro1"/>
          <w:rFonts w:eastAsia="Arial" w:cs="Arial" w:ascii="Arial" w:hAnsi="Arial"/>
          <w:b/>
          <w:bCs/>
          <w:color w:val="000000"/>
          <w:sz w:val="22"/>
          <w:szCs w:val="22"/>
        </w:rPr>
        <w:t>e)</w:t>
      </w:r>
      <w:r>
        <w:rPr>
          <w:rStyle w:val="Fontepargpadro1"/>
          <w:rFonts w:eastAsia="Arial" w:cs="Arial" w:ascii="Arial" w:hAnsi="Arial"/>
          <w:b/>
          <w:color w:val="000000"/>
          <w:sz w:val="22"/>
          <w:szCs w:val="22"/>
        </w:rPr>
        <w:t xml:space="preserve"> </w:t>
      </w:r>
      <w:r>
        <w:rPr>
          <w:rStyle w:val="Fontepargpadro1"/>
          <w:rFonts w:eastAsia="Arial" w:cs="Arial" w:ascii="Arial" w:hAnsi="Arial"/>
          <w:color w:val="000000"/>
          <w:sz w:val="22"/>
          <w:szCs w:val="22"/>
        </w:rPr>
        <w:t>Prova de regularidade perante a Fazenda Estadual;</w:t>
      </w:r>
    </w:p>
    <w:p>
      <w:pPr>
        <w:pStyle w:val="Normal"/>
        <w:widowControl w:val="false"/>
        <w:numPr>
          <w:ilvl w:val="0"/>
          <w:numId w:val="0"/>
        </w:numPr>
        <w:tabs>
          <w:tab w:val="clear" w:pos="708"/>
          <w:tab w:val="left" w:pos="937" w:leader="none"/>
          <w:tab w:val="left" w:pos="938" w:leader="none"/>
        </w:tabs>
        <w:bidi w:val="0"/>
        <w:spacing w:lineRule="auto" w:line="360" w:before="0" w:after="0"/>
        <w:ind w:left="0" w:right="0" w:hanging="0"/>
        <w:jc w:val="both"/>
        <w:rPr/>
      </w:pPr>
      <w:r>
        <w:rPr>
          <w:rStyle w:val="Fontepargpadro1"/>
          <w:rFonts w:eastAsia="Arial" w:cs="Arial" w:ascii="Arial" w:hAnsi="Arial"/>
          <w:b/>
          <w:bCs/>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f)</w:t>
      </w:r>
      <w:r>
        <w:rPr>
          <w:rStyle w:val="Fontepargpadro1"/>
          <w:rFonts w:eastAsia="Arial" w:cs="Arial" w:ascii="Arial" w:hAnsi="Arial"/>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 xml:space="preserve"> </w:t>
      </w:r>
      <w:r>
        <w:rPr>
          <w:rStyle w:val="Fontepargpadro1"/>
          <w:rFonts w:eastAsia="Arial"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Prova de regularidade perante a Fazenda Municipal;</w:t>
      </w:r>
    </w:p>
    <w:p>
      <w:pPr>
        <w:pStyle w:val="Normal"/>
        <w:widowControl/>
        <w:numPr>
          <w:ilvl w:val="0"/>
          <w:numId w:val="0"/>
        </w:numPr>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lineRule="auto" w:line="276" w:before="0" w:after="0"/>
        <w:ind w:left="0" w:right="0" w:hanging="0"/>
        <w:jc w:val="both"/>
        <w:rPr>
          <w:rFonts w:ascii="Arial" w:hAnsi="Arial" w:eastAsia="Tahoma" w:cs="Arial"/>
        </w:rPr>
      </w:pPr>
      <w:r>
        <w:rPr>
          <w:rFonts w:eastAsia="Tahoma" w:cs="Arial" w:ascii="Arial" w:hAnsi="Arial"/>
        </w:rPr>
      </w:r>
    </w:p>
    <w:p>
      <w:pPr>
        <w:pStyle w:val="Nivel01"/>
        <w:numPr>
          <w:ilvl w:val="0"/>
          <w:numId w:val="0"/>
        </w:numPr>
        <w:spacing w:lineRule="auto" w:line="360" w:before="0" w:after="0"/>
        <w:ind w:left="0" w:hanging="0"/>
        <w:rPr>
          <w:sz w:val="22"/>
          <w:szCs w:val="22"/>
        </w:rPr>
      </w:pPr>
      <w:r>
        <w:rPr>
          <w:sz w:val="22"/>
          <w:szCs w:val="22"/>
        </w:rPr>
        <w:t>CLÁUSULA SÉTIMA – REAJUSTE</w:t>
      </w:r>
    </w:p>
    <w:p>
      <w:pPr>
        <w:pStyle w:val="Normal"/>
        <w:numPr>
          <w:ilvl w:val="0"/>
          <w:numId w:val="0"/>
        </w:numPr>
        <w:spacing w:lineRule="auto" w:line="276"/>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7.1.</w:t>
      </w:r>
      <w:r>
        <w:rPr>
          <w:sz w:val="22"/>
          <w:szCs w:val="22"/>
        </w:rPr>
        <w:t xml:space="preserve"> Os preços inicialmente contratados são fixos e irreajustáveis no prazo de um ano contado da data do orçamento estimado.</w:t>
      </w:r>
    </w:p>
    <w:p>
      <w:pPr>
        <w:pStyle w:val="Nivel3"/>
        <w:numPr>
          <w:ilvl w:val="0"/>
          <w:numId w:val="0"/>
        </w:numPr>
        <w:spacing w:lineRule="auto" w:line="360" w:before="0" w:after="0"/>
        <w:ind w:left="0" w:hanging="0"/>
        <w:rPr>
          <w:sz w:val="22"/>
          <w:szCs w:val="22"/>
        </w:rPr>
      </w:pPr>
      <w:r>
        <w:rPr>
          <w:sz w:val="22"/>
          <w:szCs w:val="22"/>
        </w:rPr>
      </w:r>
    </w:p>
    <w:p>
      <w:pPr>
        <w:pStyle w:val="Nivel3"/>
        <w:numPr>
          <w:ilvl w:val="0"/>
          <w:numId w:val="0"/>
        </w:numPr>
        <w:spacing w:lineRule="auto" w:line="360" w:before="0" w:after="0"/>
        <w:ind w:left="0" w:hanging="0"/>
        <w:rPr>
          <w:sz w:val="22"/>
          <w:szCs w:val="22"/>
        </w:rPr>
      </w:pPr>
      <w:r>
        <w:rPr>
          <w:b/>
          <w:bCs/>
          <w:sz w:val="22"/>
          <w:szCs w:val="22"/>
        </w:rPr>
        <w:t>7.1.1.</w:t>
      </w:r>
      <w:r>
        <w:rPr>
          <w:sz w:val="22"/>
          <w:szCs w:val="22"/>
        </w:rPr>
        <w:t xml:space="preserve"> O orçamento estimado pela Administração baseou-se nas planilhas referenciais</w:t>
      </w:r>
    </w:p>
    <w:p>
      <w:pPr>
        <w:pStyle w:val="Nivel3"/>
        <w:numPr>
          <w:ilvl w:val="0"/>
          <w:numId w:val="0"/>
        </w:numPr>
        <w:spacing w:lineRule="auto" w:line="360" w:before="0" w:after="0"/>
        <w:ind w:left="0" w:hanging="0"/>
        <w:rPr>
          <w:b/>
          <w:b/>
          <w:bCs/>
        </w:rPr>
      </w:pPr>
      <w:r>
        <w:rPr>
          <w:b/>
          <w:bCs/>
        </w:rPr>
      </w:r>
    </w:p>
    <w:p>
      <w:pPr>
        <w:pStyle w:val="Nivel3"/>
        <w:numPr>
          <w:ilvl w:val="0"/>
          <w:numId w:val="0"/>
        </w:numPr>
        <w:spacing w:lineRule="auto" w:line="360" w:before="0" w:after="0"/>
        <w:ind w:left="0" w:hanging="0"/>
        <w:rPr>
          <w:sz w:val="22"/>
          <w:szCs w:val="22"/>
        </w:rPr>
      </w:pPr>
      <w:r>
        <w:rPr>
          <w:b/>
          <w:bCs/>
          <w:sz w:val="22"/>
          <w:szCs w:val="22"/>
        </w:rPr>
        <w:t>7.2.</w:t>
      </w:r>
      <w:r>
        <w:rPr>
          <w:b w:val="false"/>
          <w:bCs w:val="false"/>
          <w:color w:val="000000"/>
          <w:sz w:val="22"/>
          <w:szCs w:val="22"/>
        </w:rPr>
        <w:t xml:space="preserve"> </w:t>
      </w:r>
      <w:r>
        <w:rPr>
          <w:rFonts w:eastAsia="Arial" w:cs="Arial"/>
          <w:b w:val="false"/>
          <w:bCs w:val="false"/>
          <w:color w:val="000000"/>
          <w:sz w:val="22"/>
          <w:szCs w:val="22"/>
        </w:rPr>
        <w:t xml:space="preserve">Os preços que vierem a ser pactuados por decorrência deste objeto serão irreajustáveis por 365 (trezentos e sessenta e cinco) dias consecutivos, após o que, serão reajustados somente em suas parcelas remanescentes, obedecendo à variação do índice INCC - </w:t>
      </w:r>
      <w:r>
        <w:rPr>
          <w:rFonts w:eastAsia="Arial" w:cs="Arial"/>
          <w:b w:val="false"/>
          <w:bCs w:val="false"/>
          <w:i w:val="false"/>
          <w:caps w:val="false"/>
          <w:smallCaps w:val="false"/>
          <w:color w:val="202124"/>
          <w:spacing w:val="0"/>
          <w:sz w:val="22"/>
          <w:szCs w:val="22"/>
          <w:lang w:val="pt-PT"/>
        </w:rPr>
        <w:t xml:space="preserve">Índice Nacional da Construção Civil (FGV) </w:t>
      </w:r>
      <w:r>
        <w:rPr>
          <w:rFonts w:eastAsia="Arial" w:cs="Arial"/>
          <w:b w:val="false"/>
          <w:bCs w:val="false"/>
          <w:color w:val="000000"/>
          <w:sz w:val="22"/>
          <w:szCs w:val="22"/>
        </w:rPr>
        <w:t>correspondentes às famílias constantes da planilha orçamentária.</w:t>
      </w:r>
    </w:p>
    <w:p>
      <w:pPr>
        <w:pStyle w:val="Nivel3"/>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7.3.</w:t>
      </w:r>
      <w:r>
        <w:rPr>
          <w:sz w:val="22"/>
          <w:szCs w:val="22"/>
        </w:rPr>
        <w:t xml:space="preserve"> Nos reajustes subsequentes ao primeiro, o interregno mínimo de um ano será contado a partir dos efeitos financeiros do último reajuste.</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 xml:space="preserve">7.4. </w:t>
      </w:r>
      <w:r>
        <w:rPr>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vel3R"/>
        <w:numPr>
          <w:ilvl w:val="0"/>
          <w:numId w:val="0"/>
        </w:numPr>
        <w:spacing w:lineRule="auto" w:line="360" w:before="0" w:after="0"/>
        <w:ind w:left="0" w:hanging="0"/>
        <w:rPr>
          <w:sz w:val="22"/>
          <w:szCs w:val="22"/>
        </w:rPr>
      </w:pPr>
      <w:r>
        <w:rPr>
          <w:sz w:val="22"/>
          <w:szCs w:val="22"/>
        </w:rPr>
      </w:r>
    </w:p>
    <w:p>
      <w:pPr>
        <w:pStyle w:val="Nvel3R"/>
        <w:numPr>
          <w:ilvl w:val="0"/>
          <w:numId w:val="0"/>
        </w:numPr>
        <w:spacing w:lineRule="auto" w:line="360" w:before="0" w:after="0"/>
        <w:ind w:left="0" w:hanging="0"/>
        <w:rPr>
          <w:sz w:val="22"/>
          <w:szCs w:val="22"/>
        </w:rPr>
      </w:pPr>
      <w:r>
        <w:rPr>
          <w:b/>
          <w:bCs/>
          <w:i w:val="false"/>
          <w:iCs w:val="false"/>
          <w:color w:val="000000"/>
          <w:sz w:val="22"/>
          <w:szCs w:val="22"/>
        </w:rPr>
        <w:t xml:space="preserve">7.4.1 </w:t>
      </w:r>
      <w:r>
        <w:rPr>
          <w:i w:val="false"/>
          <w:iCs w:val="false"/>
          <w:color w:val="000000"/>
          <w:sz w:val="22"/>
          <w:szCs w:val="22"/>
        </w:rPr>
        <w:t>Fica o Contratado obrigado a apresentar memória de cálculo referente ao reajustamento de preços do valor remanescente, sempre que este ocorrer.</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7.5.</w:t>
      </w:r>
      <w:r>
        <w:rPr>
          <w:sz w:val="22"/>
          <w:szCs w:val="22"/>
        </w:rPr>
        <w:t xml:space="preserve"> Nas aferições finais, o(s) índice(s) utilizado(s) para reajuste será(ão), obrigatoriamente, o(s) definitivo(s).</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7.6.</w:t>
      </w:r>
      <w:r>
        <w:rPr>
          <w:sz w:val="22"/>
          <w:szCs w:val="22"/>
        </w:rPr>
        <w:t xml:space="preserve"> 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0"/>
          <w:numId w:val="0"/>
        </w:numPr>
        <w:spacing w:lineRule="auto" w:line="360" w:before="0" w:after="0"/>
        <w:ind w:left="0" w:hanging="0"/>
        <w:rPr/>
      </w:pPr>
      <w:r>
        <w:rPr/>
      </w:r>
    </w:p>
    <w:p>
      <w:pPr>
        <w:pStyle w:val="Nivel2"/>
        <w:numPr>
          <w:ilvl w:val="0"/>
          <w:numId w:val="0"/>
        </w:numPr>
        <w:spacing w:lineRule="auto" w:line="360" w:before="0" w:after="0"/>
        <w:ind w:left="0" w:hanging="0"/>
        <w:rPr>
          <w:sz w:val="22"/>
          <w:szCs w:val="22"/>
        </w:rPr>
      </w:pPr>
      <w:r>
        <w:rPr>
          <w:b/>
          <w:bCs/>
          <w:sz w:val="22"/>
          <w:szCs w:val="22"/>
        </w:rPr>
        <w:t>7.7.</w:t>
      </w:r>
      <w:r>
        <w:rPr>
          <w:sz w:val="22"/>
          <w:szCs w:val="22"/>
        </w:rPr>
        <w:t xml:space="preserve"> Na ausência de previsão legal quanto ao índice substituto, as partes elegerão novo índice oficial, para reajustamento do preço do valor remanescente, por meio de termo aditivo.</w:t>
      </w:r>
    </w:p>
    <w:p>
      <w:pPr>
        <w:pStyle w:val="Nivel2"/>
        <w:numPr>
          <w:ilvl w:val="0"/>
          <w:numId w:val="0"/>
        </w:numPr>
        <w:spacing w:lineRule="auto" w:line="360" w:before="0" w:after="0"/>
        <w:ind w:left="0" w:hanging="0"/>
        <w:rPr/>
      </w:pPr>
      <w:r>
        <w:rPr/>
      </w:r>
    </w:p>
    <w:p>
      <w:pPr>
        <w:pStyle w:val="Nivel2"/>
        <w:numPr>
          <w:ilvl w:val="0"/>
          <w:numId w:val="0"/>
        </w:numPr>
        <w:spacing w:lineRule="auto" w:line="276" w:before="0" w:after="0"/>
        <w:ind w:left="0" w:hanging="0"/>
        <w:rPr>
          <w:b/>
          <w:b/>
          <w:bCs/>
        </w:rPr>
      </w:pPr>
      <w:r>
        <w:rPr>
          <w:b/>
          <w:bCs/>
          <w:sz w:val="22"/>
          <w:szCs w:val="22"/>
        </w:rPr>
        <w:t>CLÁUSULA OITAVA - OBRIGAÇÕES DO CONTRATANTE</w:t>
      </w:r>
    </w:p>
    <w:p>
      <w:pPr>
        <w:pStyle w:val="Nivel2"/>
        <w:numPr>
          <w:ilvl w:val="0"/>
          <w:numId w:val="0"/>
        </w:numPr>
        <w:spacing w:lineRule="auto" w:line="276" w:before="0" w:after="0"/>
        <w:ind w:left="0" w:hanging="0"/>
        <w:rPr>
          <w:sz w:val="22"/>
          <w:szCs w:val="22"/>
        </w:rPr>
      </w:pPr>
      <w:r>
        <w:rPr>
          <w:sz w:val="22"/>
          <w:szCs w:val="22"/>
        </w:rPr>
      </w:r>
    </w:p>
    <w:p>
      <w:pPr>
        <w:pStyle w:val="Nivel2"/>
        <w:numPr>
          <w:ilvl w:val="0"/>
          <w:numId w:val="0"/>
        </w:numPr>
        <w:spacing w:lineRule="auto" w:line="276"/>
        <w:ind w:left="0" w:hanging="0"/>
        <w:rPr/>
      </w:pPr>
      <w:r>
        <w:rPr>
          <w:b/>
          <w:bCs/>
          <w:sz w:val="22"/>
          <w:szCs w:val="22"/>
        </w:rPr>
        <w:t xml:space="preserve">8.1. </w:t>
      </w:r>
      <w:r>
        <w:rPr>
          <w:sz w:val="22"/>
          <w:szCs w:val="22"/>
        </w:rPr>
        <w:t>São obrigações do Contratante:</w:t>
      </w:r>
    </w:p>
    <w:p>
      <w:pPr>
        <w:pStyle w:val="Nivel2"/>
        <w:numPr>
          <w:ilvl w:val="0"/>
          <w:numId w:val="0"/>
        </w:numPr>
        <w:spacing w:lineRule="auto" w:line="276" w:before="0" w:after="0"/>
        <w:ind w:left="0" w:hanging="0"/>
        <w:rPr>
          <w:sz w:val="22"/>
          <w:szCs w:val="22"/>
        </w:rPr>
      </w:pPr>
      <w:r>
        <w:rPr>
          <w:sz w:val="22"/>
          <w:szCs w:val="22"/>
        </w:rPr>
      </w:r>
    </w:p>
    <w:p>
      <w:pPr>
        <w:pStyle w:val="Nivel2"/>
        <w:numPr>
          <w:ilvl w:val="0"/>
          <w:numId w:val="0"/>
        </w:numPr>
        <w:spacing w:lineRule="auto" w:line="360" w:before="0" w:after="0"/>
        <w:ind w:left="0" w:hanging="0"/>
        <w:rPr/>
      </w:pPr>
      <w:r>
        <w:rPr>
          <w:b/>
          <w:bCs/>
          <w:sz w:val="22"/>
          <w:szCs w:val="22"/>
        </w:rPr>
        <w:t>8.2.</w:t>
      </w:r>
      <w:r>
        <w:rPr>
          <w:sz w:val="22"/>
          <w:szCs w:val="22"/>
        </w:rPr>
        <w:t xml:space="preserve"> Exigir o cumprimento de todas as obrigações assumidas pelo Contratado, de acordo com o contrato e seus anexos;</w:t>
      </w:r>
    </w:p>
    <w:p>
      <w:pPr>
        <w:pStyle w:val="Nivel2"/>
        <w:numPr>
          <w:ilvl w:val="0"/>
          <w:numId w:val="0"/>
        </w:numPr>
        <w:spacing w:lineRule="auto" w:line="240" w:before="0" w:after="0"/>
        <w:ind w:left="0" w:hanging="0"/>
        <w:rPr>
          <w:sz w:val="22"/>
          <w:szCs w:val="22"/>
        </w:rPr>
      </w:pPr>
      <w:r>
        <w:rPr>
          <w:sz w:val="22"/>
          <w:szCs w:val="22"/>
        </w:rPr>
      </w:r>
    </w:p>
    <w:p>
      <w:pPr>
        <w:pStyle w:val="Nivel2"/>
        <w:numPr>
          <w:ilvl w:val="0"/>
          <w:numId w:val="0"/>
        </w:numPr>
        <w:spacing w:lineRule="auto" w:line="276"/>
        <w:ind w:left="0" w:hanging="0"/>
        <w:rPr/>
      </w:pPr>
      <w:r>
        <w:rPr>
          <w:b/>
          <w:bCs/>
          <w:sz w:val="22"/>
          <w:szCs w:val="22"/>
        </w:rPr>
        <w:t>8.3.</w:t>
      </w:r>
      <w:r>
        <w:rPr>
          <w:sz w:val="22"/>
          <w:szCs w:val="22"/>
        </w:rPr>
        <w:t xml:space="preserve"> Receber o objeto no prazo e condições estabelecidas no Projeto Básico;</w:t>
      </w:r>
    </w:p>
    <w:p>
      <w:pPr>
        <w:pStyle w:val="Nivel2"/>
        <w:numPr>
          <w:ilvl w:val="0"/>
          <w:numId w:val="0"/>
        </w:numPr>
        <w:spacing w:lineRule="auto" w:line="276" w:before="0" w:after="0"/>
        <w:ind w:left="0" w:hanging="0"/>
        <w:rPr>
          <w:b/>
          <w:b/>
          <w:bCs/>
        </w:rPr>
      </w:pPr>
      <w:r>
        <w:rPr>
          <w:b/>
          <w:bCs/>
        </w:rPr>
      </w:r>
    </w:p>
    <w:p>
      <w:pPr>
        <w:pStyle w:val="Nivel2"/>
        <w:numPr>
          <w:ilvl w:val="0"/>
          <w:numId w:val="0"/>
        </w:numPr>
        <w:spacing w:lineRule="auto" w:line="360" w:before="0" w:after="0"/>
        <w:ind w:left="0" w:hanging="0"/>
        <w:rPr>
          <w:sz w:val="22"/>
          <w:szCs w:val="22"/>
        </w:rPr>
      </w:pPr>
      <w:r>
        <w:rPr>
          <w:b/>
          <w:bCs/>
          <w:sz w:val="22"/>
          <w:szCs w:val="22"/>
        </w:rPr>
        <w:t>8.4.</w:t>
      </w:r>
      <w:r>
        <w:rPr>
          <w:sz w:val="22"/>
          <w:szCs w:val="22"/>
        </w:rPr>
        <w:t xml:space="preserve"> Notificar o Contratado por escrito da ocorrência de eventuais imperfeições, falhas ou irregularidades constatadas no curso da execução dos serviços, fixando prazo para a sua correção, certificando-se de que as soluções por ele propostas sejam as mais adequadas.</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8.5.</w:t>
      </w:r>
      <w:r>
        <w:rPr>
          <w:sz w:val="22"/>
          <w:szCs w:val="22"/>
        </w:rPr>
        <w:t xml:space="preserve"> Notificar o Contratado, por escrito, sobre vícios, defeitos ou incorreções verificadas no objeto fornecido, para que seja por ele substituído, reparado ou corrigido, no total ou em parte, às suas expensas;</w:t>
      </w:r>
    </w:p>
    <w:p>
      <w:pPr>
        <w:pStyle w:val="Nivel2"/>
        <w:numPr>
          <w:ilvl w:val="0"/>
          <w:numId w:val="0"/>
        </w:numPr>
        <w:spacing w:lineRule="auto" w:line="276"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8.6.</w:t>
      </w:r>
      <w:r>
        <w:rPr>
          <w:sz w:val="22"/>
          <w:szCs w:val="22"/>
        </w:rPr>
        <w:t xml:space="preserve"> Acompanhar e fiscalizar a execução do contrato e o cumprimento das obrigações pelo Contratado;</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8.7.</w:t>
      </w:r>
      <w:r>
        <w:rPr>
          <w:sz w:val="22"/>
          <w:szCs w:val="22"/>
        </w:rPr>
        <w:t xml:space="preserve"> Comunicar a empresa para emissão de Nota Fiscal no que se refere à parcela incontroversa da execução do objeto, para efeito de liquidação e pagamento, quando houver controvérsia sobre a execução do objeto, quanto à dimensão, qualidade e quantidade, conforme o </w:t>
      </w:r>
      <w:r>
        <w:rPr>
          <w:rStyle w:val="LinkdaInternet"/>
          <w:sz w:val="22"/>
          <w:szCs w:val="22"/>
        </w:rPr>
        <w:t>art. 143 da Lei nº 14.133, de 2021</w:t>
      </w:r>
      <w:r>
        <w:rPr>
          <w:sz w:val="22"/>
          <w:szCs w:val="22"/>
        </w:rPr>
        <w:t>;</w:t>
      </w:r>
    </w:p>
    <w:p>
      <w:pPr>
        <w:pStyle w:val="Nivel2"/>
        <w:widowControl/>
        <w:numPr>
          <w:ilvl w:val="0"/>
          <w:numId w:val="0"/>
        </w:numPr>
        <w:suppressAutoHyphens w:val="true"/>
        <w:bidi w:val="0"/>
        <w:spacing w:lineRule="auto" w:line="360" w:before="0" w:after="0"/>
        <w:ind w:left="-57" w:right="0" w:hanging="0"/>
        <w:jc w:val="both"/>
        <w:rPr>
          <w:sz w:val="22"/>
          <w:szCs w:val="22"/>
        </w:rPr>
      </w:pPr>
      <w:r>
        <w:rPr>
          <w:sz w:val="22"/>
          <w:szCs w:val="22"/>
        </w:rPr>
      </w:r>
    </w:p>
    <w:p>
      <w:pPr>
        <w:pStyle w:val="Nivel2"/>
        <w:widowControl/>
        <w:numPr>
          <w:ilvl w:val="0"/>
          <w:numId w:val="0"/>
        </w:numPr>
        <w:suppressAutoHyphens w:val="true"/>
        <w:bidi w:val="0"/>
        <w:spacing w:lineRule="auto" w:line="360" w:before="0" w:after="0"/>
        <w:ind w:left="-57" w:right="0" w:hanging="0"/>
        <w:jc w:val="both"/>
        <w:rPr/>
      </w:pPr>
      <w:r>
        <w:rPr>
          <w:b/>
          <w:bCs/>
          <w:sz w:val="22"/>
          <w:szCs w:val="22"/>
        </w:rPr>
        <w:t xml:space="preserve">8.8. </w:t>
      </w:r>
      <w:r>
        <w:rPr>
          <w:sz w:val="22"/>
          <w:szCs w:val="22"/>
        </w:rPr>
        <w:t>Efetuar o pagamento ao Contratado do valor correspondente à execução do objeto, no prazo, forma e condições estabelecidos no presente Contrato e no Projeto Básico;</w:t>
      </w:r>
    </w:p>
    <w:p>
      <w:pPr>
        <w:pStyle w:val="Nivel2"/>
        <w:numPr>
          <w:ilvl w:val="0"/>
          <w:numId w:val="0"/>
        </w:numPr>
        <w:spacing w:lineRule="auto" w:line="360" w:before="0" w:after="0"/>
        <w:ind w:left="0" w:hanging="0"/>
        <w:rPr>
          <w:b/>
          <w:b/>
          <w:bCs/>
        </w:rPr>
      </w:pPr>
      <w:r>
        <w:rPr>
          <w:b/>
          <w:bCs/>
        </w:rPr>
      </w:r>
    </w:p>
    <w:p>
      <w:pPr>
        <w:pStyle w:val="Nivel2"/>
        <w:numPr>
          <w:ilvl w:val="0"/>
          <w:numId w:val="0"/>
        </w:numPr>
        <w:spacing w:lineRule="auto" w:line="360" w:before="0" w:after="0"/>
        <w:ind w:left="0" w:hanging="0"/>
        <w:rPr>
          <w:sz w:val="22"/>
          <w:szCs w:val="22"/>
        </w:rPr>
      </w:pPr>
      <w:r>
        <w:rPr>
          <w:b/>
          <w:bCs/>
          <w:sz w:val="22"/>
          <w:szCs w:val="22"/>
        </w:rPr>
        <w:t>8.9.</w:t>
      </w:r>
      <w:r>
        <w:rPr>
          <w:sz w:val="22"/>
          <w:szCs w:val="22"/>
        </w:rPr>
        <w:t xml:space="preserve"> Aplicar ao Contratado as sanções previstas na lei e neste Contrato;</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8.10.</w:t>
      </w:r>
      <w:r>
        <w:rPr>
          <w:sz w:val="22"/>
          <w:szCs w:val="22"/>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0"/>
          <w:numId w:val="0"/>
        </w:numPr>
        <w:spacing w:lineRule="auto" w:line="360" w:before="0" w:after="0"/>
        <w:ind w:left="0" w:hanging="0"/>
        <w:rPr/>
      </w:pPr>
      <w:r>
        <w:rPr/>
      </w:r>
    </w:p>
    <w:p>
      <w:pPr>
        <w:pStyle w:val="Nivel3"/>
        <w:numPr>
          <w:ilvl w:val="0"/>
          <w:numId w:val="0"/>
        </w:numPr>
        <w:spacing w:lineRule="auto" w:line="360" w:before="0" w:after="0"/>
        <w:ind w:left="0" w:hanging="0"/>
        <w:rPr>
          <w:sz w:val="22"/>
          <w:szCs w:val="22"/>
        </w:rPr>
      </w:pPr>
      <w:r>
        <w:rPr>
          <w:b/>
          <w:bCs/>
          <w:sz w:val="22"/>
          <w:szCs w:val="22"/>
        </w:rPr>
        <w:t>8.10.1.</w:t>
      </w:r>
      <w:r>
        <w:rPr>
          <w:sz w:val="22"/>
          <w:szCs w:val="22"/>
        </w:rPr>
        <w:t xml:space="preserve"> A Administração terá o prazo máximo de</w:t>
      </w:r>
      <w:r>
        <w:rPr>
          <w:i/>
          <w:iCs/>
          <w:color w:val="FF0000"/>
          <w:sz w:val="22"/>
          <w:szCs w:val="22"/>
        </w:rPr>
        <w:t xml:space="preserve"> </w:t>
      </w:r>
      <w:r>
        <w:rPr>
          <w:i w:val="false"/>
          <w:iCs w:val="false"/>
          <w:color w:val="000000"/>
          <w:sz w:val="22"/>
          <w:szCs w:val="22"/>
        </w:rPr>
        <w:t>60 (sessenta) dias</w:t>
      </w:r>
      <w:r>
        <w:rPr>
          <w:sz w:val="22"/>
          <w:szCs w:val="22"/>
        </w:rPr>
        <w:t>, a contar da data do protocolo do requerimento para decidir, admitida a prorrogação motivada, por igual período.</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8.11.</w:t>
      </w:r>
      <w:r>
        <w:rPr>
          <w:sz w:val="22"/>
          <w:szCs w:val="22"/>
        </w:rPr>
        <w:t xml:space="preserve"> Responder eventuais pedidos de reestabelecimento do equilíbrio econômico-financeiro feitos pelo contratado no prazo máximo de </w:t>
      </w:r>
      <w:r>
        <w:rPr>
          <w:i w:val="false"/>
          <w:iCs w:val="false"/>
          <w:color w:val="000000"/>
          <w:sz w:val="22"/>
          <w:szCs w:val="22"/>
        </w:rPr>
        <w:t>60 (sessenta) dias</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8.12.</w:t>
      </w:r>
      <w:r>
        <w:rPr>
          <w:sz w:val="22"/>
          <w:szCs w:val="22"/>
        </w:rPr>
        <w:t xml:space="preserve"> Fornecer por escrito as informações necessárias para o desenvolvimento dos serviços objeto do contrato.</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8.13.</w:t>
      </w:r>
      <w:r>
        <w:rPr>
          <w:sz w:val="22"/>
          <w:szCs w:val="22"/>
        </w:rPr>
        <w:t xml:space="preserve"> Realizar avaliações periódicas da qualidade dos serviços, após seu recebimento.</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8.14.</w:t>
      </w:r>
      <w:r>
        <w:rPr>
          <w:sz w:val="22"/>
          <w:szCs w:val="22"/>
        </w:rPr>
        <w:t xml:space="preserve">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 xml:space="preserve">8.15. </w:t>
      </w:r>
      <w:r>
        <w:rPr>
          <w:sz w:val="22"/>
          <w:szCs w:val="22"/>
        </w:rPr>
        <w:t>Não responder por quaisquer compromissos assumidos pelo Contratado com terceiros, ainda que vinculados à execução do contrato, bem como por qualquer dano causado a terceiros em decorrência de ato do Contratado, de seus empregados, prepostos ou subordinados.</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8.16.</w:t>
      </w:r>
      <w:r>
        <w:rPr>
          <w:sz w:val="22"/>
          <w:szCs w:val="22"/>
        </w:rPr>
        <w:t xml:space="preserve"> Previamente à expedição da ordem de serviço, verificar pendências, liberar áreas e/ou adotar providências cabíveis para a regularidade do início da sua execução.</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8.17.</w:t>
      </w:r>
      <w:r>
        <w:rPr>
          <w:rFonts w:cs="Arial"/>
          <w:b/>
          <w:bCs/>
          <w:sz w:val="22"/>
          <w:szCs w:val="22"/>
        </w:rPr>
        <w:t xml:space="preserve"> </w:t>
      </w:r>
      <w:r>
        <w:rPr>
          <w:rFonts w:cs="Arial"/>
          <w:b w:val="false"/>
          <w:bCs w:val="false"/>
          <w:sz w:val="22"/>
          <w:szCs w:val="22"/>
        </w:rPr>
        <w:t xml:space="preserve">A Prefeitura Municipal de Quissamã, por meio do Fundo Municipal de Desenvolvimento Econômico de Quissamã, deverá disponibilizar acesso ao </w:t>
      </w:r>
      <w:r>
        <w:rPr>
          <w:rFonts w:cs="Arial"/>
          <w:b/>
          <w:bCs/>
          <w:sz w:val="22"/>
          <w:szCs w:val="22"/>
        </w:rPr>
        <w:t>(Galpão destinado a empresa EPM, localizado na ZEN – Zona Especial de Negócios, situada a RJ 196, Conde de Araruama, Quissamã, RJ)</w:t>
      </w:r>
      <w:r>
        <w:rPr>
          <w:rFonts w:cs="Arial"/>
          <w:b w:val="false"/>
          <w:bCs w:val="false"/>
          <w:sz w:val="22"/>
          <w:szCs w:val="22"/>
        </w:rPr>
        <w:t>, para que possa ser executado os serviços, além de exercer ampla fiscalização dos mesmos.</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sz w:val="22"/>
          <w:szCs w:val="22"/>
        </w:rPr>
      </w:r>
    </w:p>
    <w:p>
      <w:pPr>
        <w:pStyle w:val="Nivel01"/>
        <w:numPr>
          <w:ilvl w:val="0"/>
          <w:numId w:val="0"/>
        </w:numPr>
        <w:spacing w:lineRule="auto" w:line="360" w:before="12" w:after="0"/>
        <w:ind w:left="0" w:hanging="0"/>
        <w:rPr/>
      </w:pPr>
      <w:r>
        <w:rPr>
          <w:b/>
          <w:bCs/>
          <w:sz w:val="22"/>
          <w:szCs w:val="22"/>
        </w:rPr>
        <w:t xml:space="preserve">CLÁUSULA NONA - OBRIGAÇÕES DO CONTRATADO </w:t>
      </w:r>
    </w:p>
    <w:p>
      <w:pPr>
        <w:pStyle w:val="Normal"/>
        <w:numPr>
          <w:ilvl w:val="0"/>
          <w:numId w:val="0"/>
        </w:numPr>
        <w:spacing w:lineRule="auto" w:line="276"/>
        <w:ind w:left="0" w:hanging="0"/>
        <w:rPr>
          <w:b/>
          <w:b/>
          <w:bCs/>
          <w:sz w:val="22"/>
          <w:szCs w:val="22"/>
        </w:rPr>
      </w:pPr>
      <w:r>
        <w:rPr>
          <w:b/>
          <w:bCs/>
          <w:sz w:val="22"/>
          <w:szCs w:val="22"/>
        </w:rPr>
      </w:r>
    </w:p>
    <w:p>
      <w:pPr>
        <w:pStyle w:val="Nivel2"/>
        <w:numPr>
          <w:ilvl w:val="0"/>
          <w:numId w:val="0"/>
        </w:numPr>
        <w:spacing w:lineRule="auto" w:line="360" w:before="0" w:after="0"/>
        <w:ind w:left="0" w:hanging="0"/>
        <w:rPr/>
      </w:pPr>
      <w:r>
        <w:rPr>
          <w:b/>
          <w:bCs/>
          <w:sz w:val="22"/>
          <w:szCs w:val="22"/>
        </w:rPr>
        <w:t>9.1.</w:t>
      </w:r>
      <w:r>
        <w:rPr>
          <w:sz w:val="22"/>
          <w:szCs w:val="22"/>
        </w:rPr>
        <w:t xml:space="preserve"> 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9.2.</w:t>
      </w:r>
      <w:r>
        <w:rPr>
          <w:sz w:val="22"/>
          <w:szCs w:val="22"/>
        </w:rPr>
        <w:t xml:space="preserve"> Manter preposto aceito pela Administração para representá-lo na execução do contrato.</w:t>
      </w:r>
    </w:p>
    <w:p>
      <w:pPr>
        <w:pStyle w:val="Nivel3"/>
        <w:numPr>
          <w:ilvl w:val="0"/>
          <w:numId w:val="0"/>
        </w:numPr>
        <w:spacing w:lineRule="auto" w:line="360" w:before="0" w:after="0"/>
        <w:ind w:left="0" w:hanging="0"/>
        <w:rPr>
          <w:sz w:val="22"/>
          <w:szCs w:val="22"/>
        </w:rPr>
      </w:pPr>
      <w:r>
        <w:rPr>
          <w:sz w:val="22"/>
          <w:szCs w:val="22"/>
        </w:rPr>
      </w:r>
    </w:p>
    <w:p>
      <w:pPr>
        <w:pStyle w:val="Nivel3"/>
        <w:numPr>
          <w:ilvl w:val="0"/>
          <w:numId w:val="0"/>
        </w:numPr>
        <w:spacing w:lineRule="auto" w:line="360" w:before="0" w:after="0"/>
        <w:ind w:left="0" w:hanging="0"/>
        <w:rPr>
          <w:sz w:val="22"/>
          <w:szCs w:val="22"/>
        </w:rPr>
      </w:pPr>
      <w:r>
        <w:rPr>
          <w:b/>
          <w:bCs/>
          <w:sz w:val="22"/>
          <w:szCs w:val="22"/>
        </w:rPr>
        <w:t>9.2.1.</w:t>
      </w:r>
      <w:r>
        <w:rPr>
          <w:sz w:val="22"/>
          <w:szCs w:val="22"/>
        </w:rPr>
        <w:t xml:space="preserve"> A indicação ou a manutenção do preposto da empresa poderá ser recusada pelo órgão ou entidade, desde que devidamente justificada, devendo a empresa designar outro para o exercício da atividade.</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 xml:space="preserve">9.3. </w:t>
      </w:r>
      <w:r>
        <w:rPr>
          <w:sz w:val="22"/>
          <w:szCs w:val="22"/>
        </w:rPr>
        <w:t xml:space="preserve">Atender às determinações regulares emitidas pelo fiscal do contrato ou autoridade superior </w:t>
      </w:r>
      <w:r>
        <w:rPr>
          <w:color w:val="000000" w:themeColor="text1"/>
          <w:sz w:val="22"/>
          <w:szCs w:val="22"/>
        </w:rPr>
        <w:t xml:space="preserve">e </w:t>
      </w:r>
      <w:r>
        <w:rPr>
          <w:sz w:val="22"/>
          <w:szCs w:val="22"/>
        </w:rPr>
        <w:t>prestar todo esclarecimento ou informação por eles solicitados;</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9.4.</w:t>
      </w:r>
      <w:r>
        <w:rPr>
          <w:sz w:val="22"/>
          <w:szCs w:val="22"/>
        </w:rPr>
        <w:t xml:space="preserve">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9.5.</w:t>
      </w:r>
      <w:r>
        <w:rPr>
          <w:sz w:val="22"/>
          <w:szCs w:val="22"/>
        </w:rPr>
        <w:t xml:space="preserve"> 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pPr>
      <w:r>
        <w:rPr>
          <w:b/>
          <w:bCs/>
          <w:sz w:val="22"/>
          <w:szCs w:val="22"/>
        </w:rPr>
        <w:t>9.6.</w:t>
      </w:r>
      <w:r>
        <w:rPr>
          <w:sz w:val="22"/>
          <w:szCs w:val="22"/>
        </w:rPr>
        <w:t xml:space="preserve"> Responsabilizar-se pelos vícios e danos decorrentes da execução do objeto, de acordo com o </w:t>
      </w:r>
      <w:hyperlink r:id="rId2">
        <w:r>
          <w:rPr>
            <w:rStyle w:val="LinkdaInternet"/>
            <w:sz w:val="22"/>
            <w:szCs w:val="22"/>
          </w:rPr>
          <w:t>Código de Defesa do Consumidor (Lei nº 8.078, de 1990</w:t>
        </w:r>
      </w:hyperlink>
      <w:r>
        <w:rPr>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9.7.</w:t>
      </w:r>
      <w:r>
        <w:rPr>
          <w:sz w:val="22"/>
          <w:szCs w:val="22"/>
        </w:rPr>
        <w:t xml:space="preserve"> Efetuar comunicação ao Contratante, assim que tiver ciência da impossibilidade de realização ou finalização do serviço no prazo estabelecido, para adoção de ações de contingência cabíveis.</w:t>
      </w:r>
    </w:p>
    <w:p>
      <w:pPr>
        <w:pStyle w:val="Nivel2"/>
        <w:numPr>
          <w:ilvl w:val="0"/>
          <w:numId w:val="0"/>
        </w:numPr>
        <w:spacing w:lineRule="auto" w:line="360" w:before="6" w:after="6"/>
        <w:ind w:left="0" w:hanging="0"/>
        <w:rPr>
          <w:sz w:val="22"/>
          <w:szCs w:val="22"/>
        </w:rPr>
      </w:pPr>
      <w:r>
        <w:rPr>
          <w:sz w:val="22"/>
          <w:szCs w:val="22"/>
        </w:rPr>
      </w:r>
    </w:p>
    <w:p>
      <w:pPr>
        <w:pStyle w:val="Nivel2"/>
        <w:numPr>
          <w:ilvl w:val="0"/>
          <w:numId w:val="0"/>
        </w:numPr>
        <w:spacing w:lineRule="auto" w:line="360" w:before="6" w:after="6"/>
        <w:ind w:left="0" w:hanging="0"/>
        <w:rPr>
          <w:sz w:val="22"/>
          <w:szCs w:val="22"/>
        </w:rPr>
      </w:pPr>
      <w:r>
        <w:rPr>
          <w:b/>
          <w:bCs/>
          <w:sz w:val="22"/>
          <w:szCs w:val="22"/>
        </w:rPr>
        <w:t>9.8.</w:t>
      </w:r>
      <w:r>
        <w:rPr>
          <w:sz w:val="22"/>
          <w:szCs w:val="22"/>
        </w:rPr>
        <w:t xml:space="preserve"> 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sz w:val="22"/>
          <w:szCs w:val="22"/>
        </w:rPr>
        <w:instrText xml:space="preserve"> HYPERLINK "http://www.planalto.gov.br/ccivil_03/_ato2019-2022/2021/lei/L14133.htm" \l "art48"</w:instrText>
      </w:r>
      <w:r>
        <w:rPr>
          <w:rStyle w:val="LinkdaInternet"/>
          <w:sz w:val="22"/>
          <w:szCs w:val="22"/>
        </w:rPr>
        <w:fldChar w:fldCharType="separate"/>
      </w:r>
      <w:r>
        <w:rPr>
          <w:rStyle w:val="LinkdaInternet"/>
          <w:sz w:val="22"/>
          <w:szCs w:val="22"/>
        </w:rPr>
        <w:t>artigo 48, parágrafo único, da Lei nº 14.133, de 2021</w:t>
      </w:r>
      <w:r>
        <w:rPr>
          <w:rStyle w:val="LinkdaInternet"/>
          <w:sz w:val="22"/>
          <w:szCs w:val="22"/>
        </w:rPr>
        <w:fldChar w:fldCharType="end"/>
      </w:r>
      <w:r>
        <w:rPr>
          <w:sz w:val="22"/>
          <w:szCs w:val="22"/>
        </w:rPr>
        <w:t>;</w:t>
      </w:r>
    </w:p>
    <w:p>
      <w:pPr>
        <w:pStyle w:val="Nivel2"/>
        <w:numPr>
          <w:ilvl w:val="0"/>
          <w:numId w:val="0"/>
        </w:numPr>
        <w:spacing w:lineRule="auto" w:line="360" w:before="0" w:after="0"/>
        <w:ind w:left="0" w:hanging="0"/>
        <w:rPr>
          <w:sz w:val="22"/>
          <w:szCs w:val="22"/>
        </w:rPr>
      </w:pPr>
      <w:r>
        <w:rPr>
          <w:b/>
          <w:bCs/>
          <w:sz w:val="22"/>
          <w:szCs w:val="22"/>
        </w:rPr>
        <w:t>9.9.</w:t>
      </w:r>
      <w:r>
        <w:rPr>
          <w:sz w:val="22"/>
          <w:szCs w:val="22"/>
        </w:rPr>
        <w:t xml:space="preserve">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pPr>
        <w:pStyle w:val="Nivel2"/>
        <w:numPr>
          <w:ilvl w:val="0"/>
          <w:numId w:val="0"/>
        </w:numPr>
        <w:spacing w:before="0" w:after="0"/>
        <w:ind w:left="0" w:hanging="0"/>
        <w:rPr/>
      </w:pPr>
      <w:r>
        <w:rPr/>
      </w:r>
    </w:p>
    <w:p>
      <w:pPr>
        <w:pStyle w:val="Nivel2"/>
        <w:numPr>
          <w:ilvl w:val="0"/>
          <w:numId w:val="0"/>
        </w:numPr>
        <w:spacing w:lineRule="auto" w:line="360" w:before="0" w:after="0"/>
        <w:ind w:left="0" w:hanging="0"/>
        <w:rPr>
          <w:sz w:val="22"/>
          <w:szCs w:val="22"/>
        </w:rPr>
      </w:pPr>
      <w:r>
        <w:rPr>
          <w:b/>
          <w:bCs/>
          <w:sz w:val="22"/>
          <w:szCs w:val="22"/>
        </w:rPr>
        <w:t>9.10.</w:t>
      </w:r>
      <w:r>
        <w:rPr>
          <w:sz w:val="22"/>
          <w:szCs w:val="22"/>
        </w:rPr>
        <w:t xml:space="preserve"> Comunicar ao Fiscal do contrato, no prazo de 24 (vinte e quatro) horas, qualquer ocorrência anormal ou acidente que se verifique no local dos serviços.</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9.11.</w:t>
      </w:r>
      <w:r>
        <w:rPr>
          <w:sz w:val="22"/>
          <w:szCs w:val="22"/>
        </w:rPr>
        <w:t xml:space="preserve"> Prestar todo esclarecimento ou informação solicitada pelo Contratante ou por seus prepostos, garantindo-lhes o acesso, a qualquer tempo, ao local dos trabalhos, bem como aos documentos relativos à execução do empreendimento.</w:t>
      </w:r>
    </w:p>
    <w:p>
      <w:pPr>
        <w:pStyle w:val="Nivel2"/>
        <w:numPr>
          <w:ilvl w:val="0"/>
          <w:numId w:val="0"/>
        </w:numPr>
        <w:spacing w:lineRule="auto" w:line="276"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9.12.</w:t>
      </w:r>
      <w:r>
        <w:rPr>
          <w:sz w:val="22"/>
          <w:szCs w:val="22"/>
        </w:rPr>
        <w:t xml:space="preserve"> Paralisar, por determinação do Contratante, qualquer atividade que não esteja sendo executada de acordo com a boa técnica ou que ponha em risco a segurança de pessoas ou bens de terceiros.</w:t>
      </w:r>
    </w:p>
    <w:p>
      <w:pPr>
        <w:pStyle w:val="Nivel2"/>
        <w:numPr>
          <w:ilvl w:val="0"/>
          <w:numId w:val="0"/>
        </w:numPr>
        <w:spacing w:lineRule="auto" w:line="276"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9.13.</w:t>
      </w:r>
      <w:r>
        <w:rPr>
          <w:sz w:val="22"/>
          <w:szCs w:val="22"/>
        </w:rPr>
        <w:t xml:space="preserve"> Promover a guarda, manutenção e vigilância de materiais, ferramentas, e tudo o que for necessário à execução do objeto, durante a vigência do contrato.</w:t>
      </w:r>
    </w:p>
    <w:p>
      <w:pPr>
        <w:pStyle w:val="Nivel2"/>
        <w:numPr>
          <w:ilvl w:val="0"/>
          <w:numId w:val="0"/>
        </w:numPr>
        <w:spacing w:lineRule="auto" w:line="360" w:before="0" w:after="0"/>
        <w:ind w:left="0" w:hanging="0"/>
        <w:rPr/>
      </w:pPr>
      <w:r>
        <w:rPr/>
      </w:r>
    </w:p>
    <w:p>
      <w:pPr>
        <w:pStyle w:val="Nivel2"/>
        <w:numPr>
          <w:ilvl w:val="0"/>
          <w:numId w:val="0"/>
        </w:numPr>
        <w:spacing w:lineRule="auto" w:line="360" w:before="0" w:after="0"/>
        <w:ind w:left="0" w:hanging="0"/>
        <w:rPr>
          <w:sz w:val="22"/>
          <w:szCs w:val="22"/>
        </w:rPr>
      </w:pPr>
      <w:r>
        <w:rPr>
          <w:b/>
          <w:bCs/>
          <w:sz w:val="22"/>
          <w:szCs w:val="22"/>
        </w:rPr>
        <w:t>9.14.</w:t>
      </w:r>
      <w:r>
        <w:rPr>
          <w:sz w:val="22"/>
          <w:szCs w:val="22"/>
        </w:rPr>
        <w:t xml:space="preserve"> 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9.15.</w:t>
      </w:r>
      <w:r>
        <w:rPr>
          <w:sz w:val="22"/>
          <w:szCs w:val="22"/>
        </w:rPr>
        <w:t xml:space="preserve"> Manter durante toda a vigência do contrato, em compatibilidade com as obrigações assumidas, todas as condições exigidas para habilitação na licitação;</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9.16.</w:t>
      </w:r>
      <w:r>
        <w:rPr>
          <w:sz w:val="22"/>
          <w:szCs w:val="22"/>
        </w:rPr>
        <w:t xml:space="preserve"> Submeter previamente, por escrito, ao Contratante, para análise e aprovação, quaisquer mudanças nos métodos executivos que fujam às especificações do memorial descritivo ou instrumento congênere.</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6" w:after="6"/>
        <w:ind w:left="0" w:hanging="0"/>
        <w:rPr>
          <w:sz w:val="22"/>
          <w:szCs w:val="22"/>
        </w:rPr>
      </w:pPr>
      <w:r>
        <w:rPr>
          <w:b/>
          <w:bCs/>
          <w:sz w:val="22"/>
          <w:szCs w:val="22"/>
        </w:rPr>
        <w:t>9.17.</w:t>
      </w:r>
      <w:r>
        <w:rPr>
          <w:sz w:val="22"/>
          <w:szCs w:val="22"/>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9.18.</w:t>
      </w:r>
      <w:r>
        <w:rPr>
          <w:sz w:val="22"/>
          <w:szCs w:val="22"/>
        </w:rPr>
        <w:t xml:space="preserve"> 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9.19.</w:t>
      </w:r>
      <w:r>
        <w:rPr>
          <w:sz w:val="22"/>
          <w:szCs w:val="22"/>
        </w:rPr>
        <w:t xml:space="preserve"> Comprovar a reserva de cargos a que se refere a cláusula acima, no prazo fixado pelo fiscal do contrato, com a indicação dos empregados que preencheram as referidas vagas;</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9.20.</w:t>
      </w:r>
      <w:r>
        <w:rPr>
          <w:sz w:val="22"/>
          <w:szCs w:val="22"/>
        </w:rPr>
        <w:t xml:space="preserve"> Guardar sigilo sobre todas as informações obtidas em decorrência do cumprimento do contrato;</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pPr>
      <w:r>
        <w:rPr>
          <w:b/>
          <w:bCs/>
          <w:sz w:val="22"/>
          <w:szCs w:val="22"/>
        </w:rPr>
        <w:t>9.21.</w:t>
      </w:r>
      <w:r>
        <w:rPr>
          <w:sz w:val="22"/>
          <w:szCs w:val="22"/>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2"/>
          <w:szCs w:val="22"/>
        </w:rPr>
        <w:instrText xml:space="preserve"> HYPERLINK "http://www.planalto.gov.br/ccivil_03/_ato2019-2022/2021/lei/L14133.htm" \l "art124"</w:instrText>
      </w:r>
      <w:r>
        <w:rPr>
          <w:rStyle w:val="LinkdaInternet"/>
          <w:sz w:val="22"/>
          <w:szCs w:val="22"/>
        </w:rPr>
        <w:fldChar w:fldCharType="separate"/>
      </w:r>
      <w:r>
        <w:rPr>
          <w:rStyle w:val="LinkdaInternet"/>
          <w:sz w:val="22"/>
          <w:szCs w:val="22"/>
        </w:rPr>
        <w:t>art. 124, II, d, da Lei nº 14.133, de 2021</w:t>
      </w:r>
      <w:r>
        <w:rPr>
          <w:rStyle w:val="LinkdaInternet"/>
          <w:sz w:val="22"/>
          <w:szCs w:val="22"/>
        </w:rPr>
        <w:fldChar w:fldCharType="end"/>
      </w:r>
      <w:r>
        <w:rPr>
          <w:sz w:val="22"/>
          <w:szCs w:val="22"/>
        </w:rPr>
        <w:t>;</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9.22.</w:t>
      </w:r>
      <w:r>
        <w:rPr>
          <w:sz w:val="22"/>
          <w:szCs w:val="22"/>
        </w:rPr>
        <w:t xml:space="preserve"> Cumprir, além dos postulados legais vigentes de âmbito federal, estadual ou municipal, as normas de segurança do Contratante;</w:t>
      </w:r>
    </w:p>
    <w:p>
      <w:pPr>
        <w:pStyle w:val="Nivel2"/>
        <w:numPr>
          <w:ilvl w:val="0"/>
          <w:numId w:val="0"/>
        </w:numPr>
        <w:spacing w:lineRule="auto" w:line="360" w:before="0" w:after="0"/>
        <w:ind w:left="0" w:hanging="0"/>
        <w:rPr/>
      </w:pPr>
      <w:r>
        <w:rPr/>
      </w:r>
    </w:p>
    <w:p>
      <w:pPr>
        <w:pStyle w:val="Nivel2"/>
        <w:numPr>
          <w:ilvl w:val="0"/>
          <w:numId w:val="0"/>
        </w:numPr>
        <w:spacing w:lineRule="auto" w:line="360" w:before="0" w:after="0"/>
        <w:ind w:left="0" w:hanging="0"/>
        <w:rPr>
          <w:sz w:val="22"/>
          <w:szCs w:val="22"/>
        </w:rPr>
      </w:pPr>
      <w:r>
        <w:rPr>
          <w:b/>
          <w:bCs/>
          <w:sz w:val="22"/>
          <w:szCs w:val="22"/>
        </w:rPr>
        <w:t>9.23.</w:t>
      </w:r>
      <w:r>
        <w:rPr>
          <w:sz w:val="22"/>
          <w:szCs w:val="22"/>
        </w:rPr>
        <w:t xml:space="preserve"> Manter os empregados nos horários predeterminados pelo Contratante.</w:t>
      </w:r>
    </w:p>
    <w:p>
      <w:pPr>
        <w:pStyle w:val="Nivel2"/>
        <w:numPr>
          <w:ilvl w:val="0"/>
          <w:numId w:val="0"/>
        </w:numPr>
        <w:spacing w:before="0" w:after="0"/>
        <w:ind w:left="0" w:hanging="0"/>
        <w:rPr/>
      </w:pPr>
      <w:r>
        <w:rPr/>
      </w:r>
    </w:p>
    <w:p>
      <w:pPr>
        <w:pStyle w:val="Nivel2"/>
        <w:numPr>
          <w:ilvl w:val="0"/>
          <w:numId w:val="0"/>
        </w:numPr>
        <w:spacing w:lineRule="auto" w:line="360" w:before="0" w:after="0"/>
        <w:ind w:left="0" w:hanging="0"/>
        <w:rPr>
          <w:sz w:val="22"/>
          <w:szCs w:val="22"/>
        </w:rPr>
      </w:pPr>
      <w:r>
        <w:rPr>
          <w:b/>
          <w:bCs/>
          <w:sz w:val="22"/>
          <w:szCs w:val="22"/>
        </w:rPr>
        <w:t>9.24.</w:t>
      </w:r>
      <w:r>
        <w:rPr>
          <w:sz w:val="22"/>
          <w:szCs w:val="22"/>
        </w:rPr>
        <w:t xml:space="preserve"> Apresentar os empregados devidamente identificados por meio de crachá.</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9.25.</w:t>
      </w:r>
      <w:r>
        <w:rPr>
          <w:sz w:val="22"/>
          <w:szCs w:val="22"/>
        </w:rPr>
        <w:t xml:space="preserve"> Apresentar ao Contratante, quando for o caso, a relação nominal dos empregados que adentrarão no órgão para a execução do serviço.</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9.26.</w:t>
      </w:r>
      <w:r>
        <w:rPr>
          <w:sz w:val="22"/>
          <w:szCs w:val="22"/>
        </w:rPr>
        <w:t xml:space="preserve"> Observar os preceitos da legislação sobre a jornada de trabalho, conforme a categoria profissional.</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6" w:after="6"/>
        <w:ind w:left="0" w:hanging="0"/>
        <w:rPr>
          <w:sz w:val="22"/>
          <w:szCs w:val="22"/>
        </w:rPr>
      </w:pPr>
      <w:r>
        <w:rPr>
          <w:b/>
          <w:bCs/>
          <w:sz w:val="22"/>
          <w:szCs w:val="22"/>
        </w:rPr>
        <w:t>9.27.</w:t>
      </w:r>
      <w:r>
        <w:rPr>
          <w:sz w:val="22"/>
          <w:szCs w:val="22"/>
        </w:rPr>
        <w:t xml:space="preserve"> 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pPr>
        <w:pStyle w:val="Nivel2"/>
        <w:numPr>
          <w:ilvl w:val="0"/>
          <w:numId w:val="0"/>
        </w:numPr>
        <w:spacing w:lineRule="auto" w:line="360" w:before="6" w:after="6"/>
        <w:ind w:left="0" w:hanging="0"/>
        <w:rPr>
          <w:sz w:val="22"/>
          <w:szCs w:val="22"/>
        </w:rPr>
      </w:pPr>
      <w:r>
        <w:rPr>
          <w:sz w:val="22"/>
          <w:szCs w:val="22"/>
        </w:rPr>
      </w:r>
    </w:p>
    <w:p>
      <w:pPr>
        <w:pStyle w:val="Nivel2"/>
        <w:numPr>
          <w:ilvl w:val="0"/>
          <w:numId w:val="0"/>
        </w:numPr>
        <w:spacing w:lineRule="auto" w:line="360" w:before="6" w:after="6"/>
        <w:ind w:left="0" w:hanging="0"/>
        <w:rPr>
          <w:sz w:val="22"/>
          <w:szCs w:val="22"/>
        </w:rPr>
      </w:pPr>
      <w:r>
        <w:rPr>
          <w:b/>
          <w:bCs/>
          <w:sz w:val="22"/>
          <w:szCs w:val="22"/>
        </w:rPr>
        <w:t>9.28.</w:t>
      </w:r>
      <w:r>
        <w:rPr>
          <w:sz w:val="22"/>
          <w:szCs w:val="22"/>
        </w:rPr>
        <w:t xml:space="preserve"> Instruir seus empregados quanto à necessidade de acatar as Normas Internas do Contratante.</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9.29.</w:t>
      </w:r>
      <w:r>
        <w:rPr>
          <w:sz w:val="22"/>
          <w:szCs w:val="22"/>
        </w:rPr>
        <w:t xml:space="preserve"> Instruir seus empregados a respeito das atividades a serem desempenhadas, alertando-os a não executarem atividades não abrangidas pelo contrato, devendo o Contratado relatar ao Contratante toda e qualquer ocorrência neste sentido, a fim de evitar desvio de função.</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9.30.</w:t>
      </w:r>
      <w:r>
        <w:rPr>
          <w:sz w:val="22"/>
          <w:szCs w:val="22"/>
        </w:rPr>
        <w:t xml:space="preserve"> Instruir os seus empregados, quanto à prevenção de incêndios nas áreas do Contratante.</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9.31.</w:t>
      </w:r>
      <w:r>
        <w:rPr>
          <w:sz w:val="22"/>
          <w:szCs w:val="22"/>
        </w:rPr>
        <w:t xml:space="preserve"> Adotar as providências e precauções necessárias, inclusive consulta nos respectivos órgãos, se necessário for, a fim de que não venham a ser danificadas as redes hidrossanitárias, elétricas e de comunicação.</w:t>
      </w:r>
    </w:p>
    <w:p>
      <w:pPr>
        <w:pStyle w:val="Nivel2"/>
        <w:numPr>
          <w:ilvl w:val="0"/>
          <w:numId w:val="0"/>
        </w:numPr>
        <w:spacing w:lineRule="auto" w:line="360" w:before="0" w:after="0"/>
        <w:ind w:left="0" w:hanging="0"/>
        <w:rPr>
          <w:rFonts w:cs="Arial"/>
        </w:rPr>
      </w:pPr>
      <w:r>
        <w:rPr>
          <w:rFonts w:cs="Arial"/>
        </w:rPr>
      </w:r>
    </w:p>
    <w:p>
      <w:pPr>
        <w:pStyle w:val="Nivel2"/>
        <w:numPr>
          <w:ilvl w:val="0"/>
          <w:numId w:val="0"/>
        </w:numPr>
        <w:spacing w:lineRule="auto" w:line="360" w:before="6" w:after="6"/>
        <w:ind w:left="0" w:hanging="0"/>
        <w:rPr>
          <w:sz w:val="22"/>
          <w:szCs w:val="22"/>
        </w:rPr>
      </w:pPr>
      <w:r>
        <w:rPr>
          <w:rFonts w:cs="Arial"/>
          <w:b/>
          <w:bCs/>
          <w:sz w:val="22"/>
          <w:szCs w:val="22"/>
        </w:rPr>
        <w:t>9.32.</w:t>
      </w:r>
      <w:r>
        <w:rPr>
          <w:rFonts w:cs="Arial"/>
          <w:sz w:val="22"/>
          <w:szCs w:val="22"/>
        </w:rPr>
        <w:t xml:space="preserve"> A empresa deverá apresentar uma certidão de pessoa jurídica emitida pelo CREA, comprovando o seu registro e apontando o nome do profissional inscrito no CREA como seu responsável técnico , sendo esse um engenheiro civil.</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9.33.</w:t>
      </w:r>
      <w:r>
        <w:rPr>
          <w:sz w:val="22"/>
          <w:szCs w:val="22"/>
        </w:rPr>
        <w:t xml:space="preserve"> Obter junto aos órgãos competentes, conforme o caso, as licenças necessárias e demais documentos e autorizações exigíveis, na forma da legislação aplicável.</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 xml:space="preserve">9.34. </w:t>
      </w:r>
      <w:r>
        <w:rPr>
          <w:sz w:val="22"/>
          <w:szCs w:val="22"/>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rFonts w:cs="Arial"/>
          <w:b/>
          <w:bCs/>
          <w:sz w:val="22"/>
          <w:szCs w:val="22"/>
        </w:rPr>
        <w:t>9.35.</w:t>
      </w:r>
      <w:r>
        <w:rPr>
          <w:rFonts w:cs="Arial"/>
          <w:sz w:val="22"/>
          <w:szCs w:val="22"/>
        </w:rPr>
        <w:t xml:space="preserve"> A contratada deverá apresentar antes do início dos serviços, as guias de recolhimento da Anotação de Responsabilidade Técnica (ART), em nome do Engenheiro Eletricista responsável pelos serviços, com cópia do comprovante do pagamento.</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lang w:eastAsia="en-US"/>
        </w:rPr>
        <w:t>9.36.</w:t>
      </w:r>
      <w:r>
        <w:rPr>
          <w:rFonts w:cs="Arial"/>
          <w:b/>
          <w:bCs/>
          <w:sz w:val="22"/>
          <w:szCs w:val="22"/>
          <w:lang w:eastAsia="en-US"/>
        </w:rPr>
        <w:t xml:space="preserve"> </w:t>
      </w:r>
      <w:r>
        <w:rPr>
          <w:rFonts w:cs="Arial"/>
          <w:b w:val="false"/>
          <w:bCs w:val="false"/>
          <w:sz w:val="22"/>
          <w:szCs w:val="22"/>
          <w:lang w:eastAsia="en-US"/>
        </w:rPr>
        <w:t>A Contratada deverá observar a legislação vigente relativa à proteção ambiental, tomando desde o início do contrato todas as providências necessárias.</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pPr>
      <w:r>
        <w:rPr>
          <w:b/>
          <w:bCs/>
          <w:sz w:val="22"/>
          <w:szCs w:val="22"/>
        </w:rPr>
        <w:t xml:space="preserve">9.37. </w:t>
      </w:r>
      <w:r>
        <w:rPr>
          <w:rFonts w:cs="Arial"/>
          <w:b w:val="false"/>
          <w:bCs w:val="false"/>
          <w:sz w:val="22"/>
          <w:szCs w:val="22"/>
        </w:rPr>
        <w:t>A contratada deverá elaborar o projeto elétrico da subestação de 150KVA, de acordo com as regras da Concessionária de Energia local (enel) e sendo necessário fazer todas as correções indicadas até à aprovação.</w:t>
      </w:r>
    </w:p>
    <w:p>
      <w:pPr>
        <w:pStyle w:val="Nivel2"/>
        <w:numPr>
          <w:ilvl w:val="0"/>
          <w:numId w:val="0"/>
        </w:numPr>
        <w:spacing w:lineRule="auto" w:line="360" w:before="0" w:after="0"/>
        <w:ind w:left="0" w:hanging="0"/>
        <w:rPr>
          <w:rFonts w:ascii="Arial" w:hAnsi="Arial" w:cs="Arial"/>
          <w:b w:val="false"/>
          <w:b w:val="false"/>
          <w:bCs w:val="false"/>
          <w:sz w:val="22"/>
          <w:szCs w:val="22"/>
        </w:rPr>
      </w:pPr>
      <w:r>
        <w:rPr>
          <w:rFonts w:cs="Arial"/>
          <w:b w:val="false"/>
          <w:bCs w:val="false"/>
          <w:sz w:val="22"/>
          <w:szCs w:val="22"/>
        </w:rPr>
      </w:r>
    </w:p>
    <w:p>
      <w:pPr>
        <w:pStyle w:val="Normal"/>
        <w:spacing w:lineRule="auto" w:line="360"/>
        <w:jc w:val="both"/>
        <w:rPr/>
      </w:pPr>
      <w:r>
        <w:rPr>
          <w:rFonts w:cs="Arial" w:ascii="Arial" w:hAnsi="Arial"/>
          <w:b/>
          <w:bCs/>
          <w:sz w:val="22"/>
          <w:szCs w:val="22"/>
        </w:rPr>
        <w:t xml:space="preserve">9.38. </w:t>
      </w:r>
      <w:r>
        <w:rPr>
          <w:rFonts w:cs="Arial" w:ascii="Arial" w:hAnsi="Arial"/>
          <w:sz w:val="22"/>
          <w:szCs w:val="22"/>
        </w:rPr>
        <w:t>A contratada deverá executar o serviço de montagem da subestação de 150KVA, seguindo o projeto elétrico aprovado pela Concessionária de Energia local (enel).</w:t>
      </w:r>
    </w:p>
    <w:p>
      <w:pPr>
        <w:pStyle w:val="Normal"/>
        <w:spacing w:lineRule="auto" w:line="360"/>
        <w:jc w:val="both"/>
        <w:rPr>
          <w:rFonts w:ascii="Arial" w:hAnsi="Arial" w:cs="Arial"/>
          <w:sz w:val="22"/>
          <w:szCs w:val="22"/>
        </w:rPr>
      </w:pPr>
      <w:r>
        <w:rPr>
          <w:rFonts w:cs="Arial" w:ascii="Arial" w:hAnsi="Arial"/>
          <w:sz w:val="22"/>
          <w:szCs w:val="22"/>
        </w:rPr>
      </w:r>
    </w:p>
    <w:p>
      <w:pPr>
        <w:pStyle w:val="Nivel2"/>
        <w:numPr>
          <w:ilvl w:val="0"/>
          <w:numId w:val="0"/>
        </w:numPr>
        <w:spacing w:lineRule="auto" w:line="360" w:before="0" w:after="0"/>
        <w:ind w:left="0" w:hanging="0"/>
        <w:rPr/>
      </w:pPr>
      <w:r>
        <w:rPr>
          <w:rFonts w:cs="Arial"/>
          <w:b/>
          <w:bCs/>
          <w:sz w:val="22"/>
          <w:szCs w:val="22"/>
        </w:rPr>
        <w:t xml:space="preserve">9.39. </w:t>
      </w:r>
      <w:r>
        <w:rPr>
          <w:rFonts w:cs="Arial"/>
          <w:b w:val="false"/>
          <w:bCs w:val="false"/>
          <w:sz w:val="22"/>
          <w:szCs w:val="22"/>
        </w:rPr>
        <w:t>A contratada deverá instalar o alimentador elétrico, saindo subestação até o quadro de disjuntores, com cabeamento de cobre de 70MM e 50MM, seguindo as normas de instalação.</w:t>
      </w:r>
    </w:p>
    <w:p>
      <w:pPr>
        <w:pStyle w:val="Nivel2"/>
        <w:numPr>
          <w:ilvl w:val="0"/>
          <w:numId w:val="0"/>
        </w:numPr>
        <w:spacing w:lineRule="auto" w:line="360" w:before="0" w:after="0"/>
        <w:ind w:left="0" w:hanging="0"/>
        <w:rPr>
          <w:sz w:val="22"/>
          <w:szCs w:val="22"/>
        </w:rPr>
      </w:pPr>
      <w:r>
        <w:rPr>
          <w:sz w:val="22"/>
          <w:szCs w:val="22"/>
        </w:rPr>
      </w:r>
    </w:p>
    <w:p>
      <w:pPr>
        <w:pStyle w:val="Normal"/>
        <w:widowControl/>
        <w:numPr>
          <w:ilvl w:val="0"/>
          <w:numId w:val="0"/>
        </w:numPr>
        <w:suppressAutoHyphens w:val="true"/>
        <w:bidi w:val="0"/>
        <w:spacing w:lineRule="auto" w:line="360" w:before="0" w:after="0"/>
        <w:ind w:left="0" w:right="0" w:hanging="0"/>
        <w:jc w:val="both"/>
        <w:rPr>
          <w:sz w:val="22"/>
          <w:szCs w:val="22"/>
        </w:rPr>
      </w:pPr>
      <w:r>
        <w:rPr>
          <w:rFonts w:cs="Arial" w:ascii="Arial" w:hAnsi="Arial"/>
          <w:b/>
          <w:bCs/>
          <w:color w:val="000000"/>
          <w:sz w:val="22"/>
          <w:szCs w:val="22"/>
        </w:rPr>
        <w:t>9.40.</w:t>
      </w:r>
      <w:r>
        <w:rPr>
          <w:rFonts w:cs="Arial" w:ascii="Arial" w:hAnsi="Arial"/>
          <w:color w:val="000000"/>
          <w:sz w:val="22"/>
          <w:szCs w:val="22"/>
        </w:rPr>
        <w:t xml:space="preserve"> A contratada deverá ressarcir os eventuais prejuízos causados ao contratante ou terceiros, provocados por ineficiência ou irregularidade cometidas no cumprimento das obrigações assumidas, de acordo com o Projeto Básico.</w:t>
      </w:r>
    </w:p>
    <w:p>
      <w:pPr>
        <w:pStyle w:val="Normal"/>
        <w:widowControl/>
        <w:suppressAutoHyphens w:val="true"/>
        <w:bidi w:val="0"/>
        <w:spacing w:lineRule="auto" w:line="360" w:before="0" w:after="0"/>
        <w:ind w:left="0" w:right="0" w:hanging="0"/>
        <w:jc w:val="both"/>
        <w:rPr>
          <w:rFonts w:ascii="Arial" w:hAnsi="Arial" w:cs="Arial"/>
          <w:color w:val="000000"/>
          <w:sz w:val="22"/>
          <w:szCs w:val="22"/>
        </w:rPr>
      </w:pPr>
      <w:r>
        <w:rPr>
          <w:rFonts w:cs="Arial" w:ascii="Arial" w:hAnsi="Arial"/>
          <w:color w:val="000000"/>
          <w:sz w:val="22"/>
          <w:szCs w:val="22"/>
        </w:rPr>
      </w:r>
    </w:p>
    <w:p>
      <w:pPr>
        <w:pStyle w:val="Normal"/>
        <w:widowControl/>
        <w:numPr>
          <w:ilvl w:val="0"/>
          <w:numId w:val="0"/>
        </w:numPr>
        <w:suppressAutoHyphens w:val="true"/>
        <w:bidi w:val="0"/>
        <w:spacing w:lineRule="auto" w:line="360" w:before="0" w:after="0"/>
        <w:ind w:left="0" w:right="0" w:hanging="0"/>
        <w:jc w:val="both"/>
        <w:rPr>
          <w:sz w:val="22"/>
          <w:szCs w:val="22"/>
        </w:rPr>
      </w:pPr>
      <w:r>
        <w:rPr>
          <w:rFonts w:cs="Arial" w:ascii="Arial" w:hAnsi="Arial"/>
          <w:b/>
          <w:bCs/>
          <w:color w:val="000000"/>
          <w:sz w:val="22"/>
          <w:szCs w:val="22"/>
        </w:rPr>
        <w:t>9.41.</w:t>
      </w:r>
      <w:r>
        <w:rPr>
          <w:rFonts w:cs="Arial" w:ascii="Arial" w:hAnsi="Arial"/>
          <w:color w:val="000000"/>
          <w:sz w:val="22"/>
          <w:szCs w:val="22"/>
        </w:rPr>
        <w:t xml:space="preserve"> Todos os impostos, taxas e seguros relativos à prestação dos serviços serão de inteira responsabilidade da contratada.</w:t>
      </w:r>
    </w:p>
    <w:p>
      <w:pPr>
        <w:pStyle w:val="Normal"/>
        <w:widowControl/>
        <w:suppressAutoHyphens w:val="true"/>
        <w:bidi w:val="0"/>
        <w:spacing w:lineRule="auto" w:line="360" w:before="0" w:after="0"/>
        <w:ind w:left="0" w:right="0" w:hanging="0"/>
        <w:jc w:val="both"/>
        <w:rPr>
          <w:rFonts w:ascii="Arial" w:hAnsi="Arial" w:cs="Arial"/>
          <w:color w:val="000000"/>
          <w:sz w:val="22"/>
          <w:szCs w:val="22"/>
        </w:rPr>
      </w:pPr>
      <w:r>
        <w:rPr>
          <w:rFonts w:cs="Arial" w:ascii="Arial" w:hAnsi="Arial"/>
          <w:color w:val="000000"/>
          <w:sz w:val="22"/>
          <w:szCs w:val="22"/>
        </w:rPr>
      </w:r>
    </w:p>
    <w:p>
      <w:pPr>
        <w:pStyle w:val="Normal"/>
        <w:suppressAutoHyphens w:val="true"/>
        <w:spacing w:lineRule="auto" w:line="360" w:before="0" w:after="0"/>
        <w:ind w:right="0" w:hanging="0"/>
        <w:jc w:val="both"/>
        <w:rPr/>
      </w:pPr>
      <w:r>
        <w:rPr>
          <w:rStyle w:val="Fontepargpadro"/>
          <w:rFonts w:eastAsia="SimSun;宋体" w:cs="Times New Roman" w:ascii="Arial" w:hAnsi="Arial"/>
          <w:b/>
          <w:bCs/>
          <w:color w:val="auto"/>
          <w:kern w:val="2"/>
          <w:sz w:val="22"/>
          <w:szCs w:val="22"/>
          <w:lang w:val="pt-BR" w:eastAsia="zh-CN" w:bidi="hi-IN"/>
        </w:rPr>
        <w:t>9.42.</w:t>
      </w:r>
      <w:r>
        <w:rPr>
          <w:rStyle w:val="Fontepargpadro"/>
          <w:rFonts w:eastAsia="SimSun;宋体" w:cs="Times New Roman" w:ascii="Arial" w:hAnsi="Arial"/>
          <w:b w:val="false"/>
          <w:bCs w:val="false"/>
          <w:color w:val="auto"/>
          <w:kern w:val="2"/>
          <w:sz w:val="22"/>
          <w:szCs w:val="22"/>
          <w:lang w:val="pt-BR" w:eastAsia="zh-CN" w:bidi="hi-IN"/>
        </w:rPr>
        <w:t xml:space="preserve"> Todos os funcionários deverão utilizar durante a execução dos o EPI (Equipamento de Proteção Individual) e o EPC (Equipamento de Proteção Coletiva), obedecendo às Normas Regulamentadoras vigentes;</w:t>
      </w:r>
    </w:p>
    <w:p>
      <w:pPr>
        <w:pStyle w:val="Normal"/>
        <w:widowControl/>
        <w:numPr>
          <w:ilvl w:val="0"/>
          <w:numId w:val="0"/>
        </w:numPr>
        <w:suppressAutoHyphens w:val="true"/>
        <w:bidi w:val="0"/>
        <w:spacing w:lineRule="auto" w:line="360" w:before="0" w:after="0"/>
        <w:ind w:left="0" w:right="0" w:hanging="0"/>
        <w:jc w:val="both"/>
        <w:rPr>
          <w:rFonts w:cs="Arial"/>
          <w:color w:val="000000"/>
        </w:rPr>
      </w:pPr>
      <w:r>
        <w:rPr>
          <w:rFonts w:cs="Arial"/>
          <w:color w:val="000000"/>
        </w:rPr>
      </w:r>
    </w:p>
    <w:p>
      <w:pPr>
        <w:pStyle w:val="Normal"/>
        <w:suppressAutoHyphens w:val="true"/>
        <w:spacing w:lineRule="auto" w:line="360" w:before="0" w:after="0"/>
        <w:ind w:right="0" w:hanging="0"/>
        <w:jc w:val="both"/>
        <w:rPr/>
      </w:pPr>
      <w:r>
        <w:rPr>
          <w:rStyle w:val="Fontepargpadro"/>
          <w:rFonts w:eastAsia="SimSun;宋体" w:cs="Times New Roman" w:ascii="Arial" w:hAnsi="Arial"/>
          <w:b/>
          <w:bCs/>
          <w:color w:val="auto"/>
          <w:kern w:val="2"/>
          <w:sz w:val="22"/>
          <w:szCs w:val="22"/>
          <w:lang w:val="pt-BR" w:eastAsia="zh-CN" w:bidi="hi-IN"/>
        </w:rPr>
        <w:t>9.43.</w:t>
      </w:r>
      <w:r>
        <w:rPr>
          <w:rStyle w:val="Fontepargpadro"/>
          <w:rFonts w:eastAsia="SimSun;宋体" w:cs="Times New Roman" w:ascii="Arial" w:hAnsi="Arial"/>
          <w:b w:val="false"/>
          <w:bCs w:val="false"/>
          <w:color w:val="auto"/>
          <w:kern w:val="2"/>
          <w:sz w:val="22"/>
          <w:szCs w:val="22"/>
          <w:lang w:val="pt-BR" w:eastAsia="zh-CN" w:bidi="hi-IN"/>
        </w:rPr>
        <w:t xml:space="preserve"> Contratar, por sua conta, todos os seguros exigidos ou que venham a ser exigidos por lei e que incidam direta ou indiretamente sobre o objeto deste projeto básico;</w:t>
      </w:r>
    </w:p>
    <w:p>
      <w:pPr>
        <w:pStyle w:val="Normal"/>
        <w:suppressAutoHyphens w:val="true"/>
        <w:spacing w:lineRule="auto" w:line="360"/>
        <w:ind w:right="0" w:hanging="0"/>
        <w:jc w:val="both"/>
        <w:rPr>
          <w:rFonts w:ascii="Arial" w:hAnsi="Arial" w:eastAsia="SimSun;宋体" w:cs="Times New Roman"/>
          <w:b w:val="false"/>
          <w:b w:val="false"/>
          <w:bCs w:val="false"/>
          <w:color w:val="auto"/>
          <w:kern w:val="2"/>
          <w:sz w:val="22"/>
          <w:szCs w:val="22"/>
          <w:lang w:val="pt-BR" w:eastAsia="zh-CN" w:bidi="hi-IN"/>
        </w:rPr>
      </w:pPr>
      <w:r>
        <w:rPr>
          <w:rFonts w:eastAsia="SimSun;宋体" w:cs="Times New Roman" w:ascii="Arial" w:hAnsi="Arial"/>
          <w:b w:val="false"/>
          <w:bCs w:val="false"/>
          <w:color w:val="auto"/>
          <w:kern w:val="2"/>
          <w:sz w:val="22"/>
          <w:szCs w:val="22"/>
          <w:lang w:val="pt-BR" w:eastAsia="zh-CN" w:bidi="hi-IN"/>
        </w:rPr>
      </w:r>
    </w:p>
    <w:p>
      <w:pPr>
        <w:pStyle w:val="Normal"/>
        <w:suppressAutoHyphens w:val="true"/>
        <w:spacing w:lineRule="auto" w:line="360"/>
        <w:ind w:right="0" w:hanging="0"/>
        <w:jc w:val="both"/>
        <w:rPr/>
      </w:pPr>
      <w:r>
        <w:rPr>
          <w:rStyle w:val="Fontepargpadro"/>
          <w:rFonts w:eastAsia="SimSun;宋体" w:cs="Times New Roman" w:ascii="Arial" w:hAnsi="Arial"/>
          <w:b/>
          <w:bCs/>
          <w:color w:val="auto"/>
          <w:kern w:val="2"/>
          <w:sz w:val="22"/>
          <w:szCs w:val="22"/>
          <w:lang w:val="pt-BR" w:eastAsia="zh-CN" w:bidi="hi-IN"/>
        </w:rPr>
        <w:t>9.44.</w:t>
      </w:r>
      <w:r>
        <w:rPr>
          <w:rStyle w:val="Fontepargpadro"/>
          <w:rFonts w:eastAsia="SimSun;宋体" w:cs="Times New Roman" w:ascii="Arial" w:hAnsi="Arial"/>
          <w:b w:val="false"/>
          <w:bCs w:val="false"/>
          <w:color w:val="auto"/>
          <w:kern w:val="2"/>
          <w:sz w:val="22"/>
          <w:szCs w:val="22"/>
          <w:lang w:val="pt-BR" w:eastAsia="zh-CN" w:bidi="hi-IN"/>
        </w:rPr>
        <w:t xml:space="preserve"> Promover, por sua conta, a cobertura, através de seguro, dos riscos a que se julgar exposta em vista das responsabilidades que lhe cabem na execução do objeto deste Projeto Básico, devendo reparar e indenizar danos de quaisquer naturezas causados à Administração Municipal ou a terceiros, provenientes da ação ou omissão sua ou de seus prepostos, na execução do objeto contratado ou dele decorrente;</w:t>
      </w:r>
    </w:p>
    <w:p>
      <w:pPr>
        <w:pStyle w:val="Normal"/>
        <w:widowControl/>
        <w:numPr>
          <w:ilvl w:val="0"/>
          <w:numId w:val="0"/>
        </w:numPr>
        <w:suppressAutoHyphens w:val="true"/>
        <w:bidi w:val="0"/>
        <w:spacing w:lineRule="auto" w:line="360" w:before="0" w:after="0"/>
        <w:ind w:left="0" w:right="0" w:hanging="0"/>
        <w:jc w:val="both"/>
        <w:rPr>
          <w:rStyle w:val="Fontepargpadro"/>
          <w:rFonts w:ascii="Arial" w:hAnsi="Arial" w:eastAsia="SimSun;宋体" w:cs="Times New Roman"/>
          <w:b w:val="false"/>
          <w:b w:val="false"/>
          <w:bCs w:val="false"/>
          <w:color w:val="auto"/>
          <w:kern w:val="2"/>
          <w:lang w:val="pt-BR" w:eastAsia="zh-CN" w:bidi="hi-IN"/>
        </w:rPr>
      </w:pPr>
      <w:r>
        <w:rPr>
          <w:rFonts w:eastAsia="SimSun;宋体" w:cs="Times New Roman" w:ascii="Arial" w:hAnsi="Arial"/>
          <w:b w:val="false"/>
          <w:bCs w:val="false"/>
          <w:color w:val="auto"/>
          <w:kern w:val="2"/>
          <w:lang w:val="pt-BR" w:eastAsia="zh-CN" w:bidi="hi-IN"/>
        </w:rPr>
      </w:r>
    </w:p>
    <w:p>
      <w:pPr>
        <w:pStyle w:val="Normal"/>
        <w:widowControl/>
        <w:numPr>
          <w:ilvl w:val="0"/>
          <w:numId w:val="0"/>
        </w:numPr>
        <w:suppressAutoHyphens w:val="true"/>
        <w:bidi w:val="0"/>
        <w:spacing w:lineRule="auto" w:line="360" w:before="0" w:after="0"/>
        <w:ind w:left="0" w:right="0" w:hanging="0"/>
        <w:jc w:val="both"/>
        <w:rPr>
          <w:sz w:val="22"/>
          <w:szCs w:val="22"/>
        </w:rPr>
      </w:pPr>
      <w:r>
        <w:rPr>
          <w:rStyle w:val="Fontepargpadro"/>
          <w:rFonts w:eastAsia="SimSun;宋体" w:cs="Times New Roman" w:ascii="Arial" w:hAnsi="Arial"/>
          <w:b/>
          <w:bCs/>
          <w:color w:val="auto"/>
          <w:kern w:val="2"/>
          <w:sz w:val="22"/>
          <w:szCs w:val="22"/>
          <w:lang w:val="pt-BR" w:eastAsia="zh-CN" w:bidi="hi-IN"/>
        </w:rPr>
        <w:t xml:space="preserve">9.45. </w:t>
      </w:r>
      <w:r>
        <w:rPr>
          <w:rStyle w:val="Fontepargpadro"/>
          <w:rFonts w:eastAsia="SimSun;宋体" w:cs="Times New Roman" w:ascii="Arial" w:hAnsi="Arial"/>
          <w:b w:val="false"/>
          <w:bCs w:val="false"/>
          <w:color w:val="auto"/>
          <w:kern w:val="2"/>
          <w:sz w:val="22"/>
          <w:szCs w:val="22"/>
          <w:lang w:val="pt-BR" w:eastAsia="zh-CN" w:bidi="hi-IN"/>
        </w:rPr>
        <w:t>Prestar todo e qualquer esclarecimento ou informação solicitada pela fiscalização do FMDE;</w:t>
      </w:r>
    </w:p>
    <w:p>
      <w:pPr>
        <w:pStyle w:val="Normal"/>
        <w:widowControl/>
        <w:numPr>
          <w:ilvl w:val="0"/>
          <w:numId w:val="0"/>
        </w:numPr>
        <w:suppressAutoHyphens w:val="true"/>
        <w:bidi w:val="0"/>
        <w:spacing w:lineRule="auto" w:line="276" w:before="0" w:after="0"/>
        <w:ind w:left="0" w:right="0" w:hanging="0"/>
        <w:jc w:val="both"/>
        <w:rPr>
          <w:rFonts w:ascii="Arial" w:hAnsi="Arial" w:eastAsia="SimSun;宋体" w:cs="Times New Roman"/>
          <w:b w:val="false"/>
          <w:b w:val="false"/>
          <w:bCs w:val="false"/>
          <w:color w:val="auto"/>
          <w:kern w:val="2"/>
          <w:lang w:val="pt-BR" w:eastAsia="zh-CN" w:bidi="hi-IN"/>
        </w:rPr>
      </w:pPr>
      <w:r>
        <w:rPr>
          <w:rFonts w:eastAsia="SimSun;宋体" w:cs="Times New Roman" w:ascii="Arial" w:hAnsi="Arial"/>
          <w:b w:val="false"/>
          <w:bCs w:val="false"/>
          <w:color w:val="auto"/>
          <w:kern w:val="2"/>
          <w:lang w:val="pt-BR" w:eastAsia="zh-CN" w:bidi="hi-IN"/>
        </w:rPr>
      </w:r>
    </w:p>
    <w:p>
      <w:pPr>
        <w:pStyle w:val="Normal"/>
        <w:widowControl/>
        <w:numPr>
          <w:ilvl w:val="0"/>
          <w:numId w:val="0"/>
        </w:numPr>
        <w:suppressAutoHyphens w:val="true"/>
        <w:bidi w:val="0"/>
        <w:spacing w:lineRule="auto" w:line="360" w:before="0" w:after="0"/>
        <w:ind w:left="0" w:right="0" w:hanging="0"/>
        <w:jc w:val="both"/>
        <w:rPr>
          <w:sz w:val="22"/>
          <w:szCs w:val="22"/>
        </w:rPr>
      </w:pPr>
      <w:r>
        <w:rPr>
          <w:rStyle w:val="Fontepargpadro"/>
          <w:rFonts w:eastAsia="SimSun;宋体" w:cs="Times New Roman" w:ascii="Arial" w:hAnsi="Arial"/>
          <w:b/>
          <w:bCs/>
          <w:color w:val="auto"/>
          <w:kern w:val="2"/>
          <w:sz w:val="22"/>
          <w:szCs w:val="22"/>
          <w:lang w:val="pt-BR" w:eastAsia="zh-CN" w:bidi="hi-IN"/>
        </w:rPr>
        <w:t>9.46.</w:t>
      </w:r>
      <w:r>
        <w:rPr>
          <w:rStyle w:val="Fontepargpadro"/>
          <w:rFonts w:eastAsia="SimSun;宋体" w:cs="Times New Roman" w:ascii="Arial" w:hAnsi="Arial"/>
          <w:b w:val="false"/>
          <w:bCs w:val="false"/>
          <w:color w:val="auto"/>
          <w:kern w:val="2"/>
          <w:sz w:val="22"/>
          <w:szCs w:val="22"/>
          <w:lang w:val="pt-BR" w:eastAsia="zh-CN" w:bidi="hi-IN"/>
        </w:rPr>
        <w:t xml:space="preserve"> Cientificar, imediatamente, à fiscalização do FMDE de qualquer ocorrência anormal que se verificar na execução do serviço;</w:t>
      </w:r>
    </w:p>
    <w:p>
      <w:pPr>
        <w:pStyle w:val="Normal"/>
        <w:widowControl/>
        <w:numPr>
          <w:ilvl w:val="0"/>
          <w:numId w:val="0"/>
        </w:numPr>
        <w:suppressAutoHyphens w:val="true"/>
        <w:bidi w:val="0"/>
        <w:spacing w:lineRule="auto" w:line="276" w:before="0" w:after="0"/>
        <w:ind w:left="0" w:right="0" w:hanging="0"/>
        <w:jc w:val="both"/>
        <w:rPr>
          <w:rFonts w:ascii="Arial" w:hAnsi="Arial" w:eastAsia="SimSun;宋体" w:cs="Times New Roman"/>
          <w:b w:val="false"/>
          <w:b w:val="false"/>
          <w:bCs w:val="false"/>
          <w:color w:val="auto"/>
          <w:kern w:val="2"/>
          <w:sz w:val="22"/>
          <w:szCs w:val="22"/>
          <w:lang w:val="pt-BR" w:eastAsia="zh-CN" w:bidi="hi-IN"/>
        </w:rPr>
      </w:pPr>
      <w:r>
        <w:rPr>
          <w:rFonts w:eastAsia="SimSun;宋体" w:cs="Times New Roman" w:ascii="Arial" w:hAnsi="Arial"/>
          <w:b w:val="false"/>
          <w:bCs w:val="false"/>
          <w:color w:val="auto"/>
          <w:kern w:val="2"/>
          <w:sz w:val="22"/>
          <w:szCs w:val="22"/>
          <w:lang w:val="pt-BR" w:eastAsia="zh-CN" w:bidi="hi-IN"/>
        </w:rPr>
      </w:r>
    </w:p>
    <w:p>
      <w:pPr>
        <w:pStyle w:val="Normal"/>
        <w:widowControl/>
        <w:numPr>
          <w:ilvl w:val="0"/>
          <w:numId w:val="0"/>
        </w:numPr>
        <w:suppressAutoHyphens w:val="true"/>
        <w:bidi w:val="0"/>
        <w:spacing w:lineRule="auto" w:line="360" w:before="0" w:after="0"/>
        <w:ind w:left="0" w:right="0" w:hanging="0"/>
        <w:jc w:val="both"/>
        <w:rPr>
          <w:sz w:val="22"/>
          <w:szCs w:val="22"/>
        </w:rPr>
      </w:pPr>
      <w:r>
        <w:rPr>
          <w:rStyle w:val="Fontepargpadro"/>
          <w:rFonts w:eastAsia="SimSun;宋体" w:cs="Times New Roman" w:ascii="Arial" w:hAnsi="Arial"/>
          <w:b/>
          <w:bCs/>
          <w:color w:val="auto"/>
          <w:kern w:val="2"/>
          <w:sz w:val="22"/>
          <w:szCs w:val="22"/>
          <w:lang w:val="pt-BR" w:eastAsia="zh-CN" w:bidi="hi-IN"/>
        </w:rPr>
        <w:t>9.47.</w:t>
      </w:r>
      <w:r>
        <w:rPr>
          <w:rStyle w:val="Fontepargpadro"/>
          <w:rFonts w:eastAsia="SimSun;宋体" w:cs="Times New Roman" w:ascii="Arial" w:hAnsi="Arial"/>
          <w:b w:val="false"/>
          <w:bCs w:val="false"/>
          <w:color w:val="auto"/>
          <w:kern w:val="2"/>
          <w:sz w:val="22"/>
          <w:szCs w:val="22"/>
          <w:lang w:val="pt-BR" w:eastAsia="zh-CN" w:bidi="hi-IN"/>
        </w:rPr>
        <w:t xml:space="preserve"> Não será admitida subcontratação do objeto.</w:t>
      </w:r>
    </w:p>
    <w:p>
      <w:pPr>
        <w:pStyle w:val="Nvel2Red"/>
        <w:numPr>
          <w:ilvl w:val="0"/>
          <w:numId w:val="0"/>
        </w:numPr>
        <w:spacing w:before="0" w:after="0"/>
        <w:ind w:left="0" w:hanging="0"/>
        <w:rPr>
          <w:lang w:eastAsia="en-US"/>
        </w:rPr>
      </w:pPr>
      <w:r>
        <w:rPr>
          <w:lang w:eastAsia="en-US"/>
        </w:rPr>
      </w:r>
    </w:p>
    <w:p>
      <w:pPr>
        <w:pStyle w:val="Nivel01"/>
        <w:numPr>
          <w:ilvl w:val="0"/>
          <w:numId w:val="0"/>
        </w:numPr>
        <w:spacing w:lineRule="auto" w:line="360" w:before="0" w:after="0"/>
        <w:ind w:left="0" w:hanging="0"/>
        <w:rPr/>
      </w:pPr>
      <w:r>
        <w:rPr>
          <w:sz w:val="22"/>
          <w:szCs w:val="22"/>
        </w:rPr>
        <w:t>CLÁU</w:t>
      </w:r>
      <w:r>
        <w:rPr>
          <w:color w:val="auto"/>
          <w:sz w:val="22"/>
          <w:szCs w:val="22"/>
        </w:rPr>
        <w:t>SULA DÉCIMA  – GARANTIA DE EXECUÇÃO</w:t>
      </w:r>
    </w:p>
    <w:p>
      <w:pPr>
        <w:pStyle w:val="Nivel01"/>
        <w:numPr>
          <w:ilvl w:val="0"/>
          <w:numId w:val="0"/>
        </w:numPr>
        <w:spacing w:lineRule="auto" w:line="360" w:before="0" w:after="0"/>
        <w:ind w:left="0" w:hanging="0"/>
        <w:rPr/>
      </w:pPr>
      <w:r>
        <w:rPr/>
      </w:r>
    </w:p>
    <w:p>
      <w:pPr>
        <w:pStyle w:val="Nivel01"/>
        <w:numPr>
          <w:ilvl w:val="0"/>
          <w:numId w:val="0"/>
        </w:numPr>
        <w:spacing w:lineRule="auto" w:line="360" w:before="0" w:after="0"/>
        <w:ind w:left="0" w:hanging="0"/>
        <w:rPr/>
      </w:pPr>
      <w:r>
        <w:rPr>
          <w:b/>
          <w:bCs/>
          <w:i w:val="false"/>
          <w:iCs w:val="false"/>
          <w:color w:val="auto"/>
          <w:sz w:val="22"/>
          <w:szCs w:val="22"/>
        </w:rPr>
        <w:t xml:space="preserve">10.1. </w:t>
      </w:r>
      <w:r>
        <w:rPr>
          <w:b w:val="false"/>
          <w:bCs w:val="false"/>
          <w:i w:val="false"/>
          <w:iCs w:val="false"/>
          <w:color w:val="auto"/>
          <w:sz w:val="22"/>
          <w:szCs w:val="22"/>
        </w:rPr>
        <w:t>A Contratada o</w:t>
      </w:r>
      <w:r>
        <w:rPr>
          <w:rFonts w:cs="Arial"/>
          <w:b w:val="false"/>
          <w:bCs w:val="false"/>
          <w:i w:val="false"/>
          <w:iCs w:val="false"/>
          <w:color w:val="000000"/>
          <w:sz w:val="22"/>
          <w:szCs w:val="22"/>
        </w:rPr>
        <w:t xml:space="preserve"> deverá oferecer a garantia mínima de 12 (doze) meses do transformador.</w:t>
      </w:r>
    </w:p>
    <w:p>
      <w:pPr>
        <w:pStyle w:val="Nivel01"/>
        <w:numPr>
          <w:ilvl w:val="0"/>
          <w:numId w:val="0"/>
        </w:numPr>
        <w:spacing w:lineRule="auto" w:line="360" w:before="0" w:after="0"/>
        <w:ind w:left="0" w:hanging="0"/>
        <w:rPr>
          <w:rFonts w:ascii="Arial" w:hAnsi="Arial" w:cs="Arial"/>
          <w:b w:val="false"/>
          <w:b w:val="false"/>
          <w:bCs w:val="false"/>
          <w:i w:val="false"/>
          <w:i w:val="false"/>
          <w:iCs w:val="false"/>
          <w:color w:val="000000"/>
          <w:sz w:val="22"/>
          <w:szCs w:val="22"/>
        </w:rPr>
      </w:pPr>
      <w:r>
        <w:rPr>
          <w:rFonts w:cs="Arial"/>
          <w:b w:val="false"/>
          <w:bCs w:val="false"/>
          <w:i w:val="false"/>
          <w:iCs w:val="false"/>
          <w:color w:val="000000"/>
          <w:sz w:val="22"/>
          <w:szCs w:val="22"/>
        </w:rPr>
      </w:r>
    </w:p>
    <w:p>
      <w:pPr>
        <w:pStyle w:val="Nivel01"/>
        <w:numPr>
          <w:ilvl w:val="0"/>
          <w:numId w:val="0"/>
        </w:numPr>
        <w:spacing w:lineRule="auto" w:line="360" w:before="0" w:after="0"/>
        <w:ind w:left="0" w:hanging="0"/>
        <w:rPr/>
      </w:pPr>
      <w:r>
        <w:rPr>
          <w:rFonts w:cs="Arial"/>
          <w:b/>
          <w:bCs/>
          <w:i w:val="false"/>
          <w:iCs w:val="false"/>
          <w:color w:val="auto"/>
          <w:sz w:val="22"/>
          <w:szCs w:val="22"/>
        </w:rPr>
        <w:t>10.2.</w:t>
      </w:r>
      <w:r>
        <w:rPr>
          <w:rFonts w:cs="Arial"/>
          <w:b w:val="false"/>
          <w:bCs w:val="false"/>
          <w:i w:val="false"/>
          <w:iCs w:val="false"/>
          <w:color w:val="000000"/>
          <w:sz w:val="22"/>
          <w:szCs w:val="22"/>
        </w:rPr>
        <w:t xml:space="preserve"> Conforme aqueles estabelecidos na Lei nº 8.078, de 11 de setembro de 1990 (Código de Defesa do Consumidor) e demais normativos que eventualmente disciplinem o objeto.</w:t>
      </w:r>
    </w:p>
    <w:p>
      <w:pPr>
        <w:pStyle w:val="Normal"/>
        <w:numPr>
          <w:ilvl w:val="0"/>
          <w:numId w:val="0"/>
        </w:numPr>
        <w:spacing w:lineRule="auto" w:line="360" w:before="0" w:after="0"/>
        <w:ind w:left="0" w:hanging="0"/>
        <w:rPr>
          <w:rFonts w:ascii="Arial" w:hAnsi="Arial"/>
          <w:b w:val="false"/>
          <w:b w:val="false"/>
          <w:bCs w:val="false"/>
          <w:i w:val="false"/>
          <w:i w:val="false"/>
          <w:iCs w:val="false"/>
          <w:color w:val="auto"/>
          <w:sz w:val="22"/>
          <w:szCs w:val="22"/>
        </w:rPr>
      </w:pPr>
      <w:r>
        <w:rPr>
          <w:rFonts w:ascii="Arial" w:hAnsi="Arial"/>
          <w:b w:val="false"/>
          <w:bCs w:val="false"/>
          <w:i w:val="false"/>
          <w:iCs w:val="false"/>
          <w:color w:val="auto"/>
          <w:sz w:val="22"/>
          <w:szCs w:val="22"/>
        </w:rPr>
      </w:r>
    </w:p>
    <w:p>
      <w:pPr>
        <w:pStyle w:val="Nvel2Red"/>
        <w:numPr>
          <w:ilvl w:val="0"/>
          <w:numId w:val="0"/>
        </w:numPr>
        <w:spacing w:lineRule="auto" w:line="360" w:before="0" w:after="0"/>
        <w:ind w:left="0" w:hanging="0"/>
        <w:rPr/>
      </w:pPr>
      <w:r>
        <w:rPr>
          <w:b/>
          <w:bCs/>
          <w:i w:val="false"/>
          <w:iCs w:val="false"/>
          <w:color w:val="000000"/>
          <w:sz w:val="22"/>
          <w:szCs w:val="22"/>
        </w:rPr>
        <w:t>CLÁUSULA DÉCIMA PRIMEIRA– INFRAÇÕES E SANÇÕES ADMINISTRATIVAS (</w:t>
      </w:r>
      <w:r>
        <w:fldChar w:fldCharType="begin"/>
      </w:r>
      <w:r>
        <w:rPr>
          <w:rStyle w:val="LinkdaInternet"/>
          <w:sz w:val="22"/>
          <w:szCs w:val="22"/>
        </w:rPr>
        <w:instrText xml:space="preserve"> HYPERLINK "http://www.planalto.gov.br/ccivil_03/_ato2019-2022/2021/lei/L14133.htm" \l "art92"</w:instrText>
      </w:r>
      <w:r>
        <w:rPr>
          <w:rStyle w:val="LinkdaInternet"/>
          <w:sz w:val="22"/>
          <w:szCs w:val="22"/>
        </w:rPr>
        <w:fldChar w:fldCharType="separate"/>
      </w:r>
      <w:r>
        <w:rPr>
          <w:rStyle w:val="LinkdaInternet"/>
          <w:sz w:val="22"/>
          <w:szCs w:val="22"/>
        </w:rPr>
        <w:t>art. 92, XIV</w:t>
      </w:r>
      <w:r>
        <w:rPr>
          <w:rStyle w:val="LinkdaInternet"/>
          <w:sz w:val="22"/>
          <w:szCs w:val="22"/>
        </w:rPr>
        <w:fldChar w:fldCharType="end"/>
      </w:r>
      <w:r>
        <w:rPr>
          <w:b/>
          <w:bCs/>
          <w:color w:val="000000"/>
          <w:sz w:val="22"/>
          <w:szCs w:val="22"/>
        </w:rPr>
        <w:t>)</w:t>
      </w:r>
    </w:p>
    <w:p>
      <w:pPr>
        <w:pStyle w:val="Normal"/>
        <w:spacing w:before="0" w:after="0"/>
        <w:ind w:left="0" w:hanging="0"/>
        <w:rPr>
          <w:sz w:val="22"/>
          <w:szCs w:val="22"/>
        </w:rPr>
      </w:pPr>
      <w:r>
        <w:rPr>
          <w:sz w:val="22"/>
          <w:szCs w:val="22"/>
        </w:rPr>
      </w:r>
    </w:p>
    <w:p>
      <w:pPr>
        <w:pStyle w:val="Nivel2"/>
        <w:numPr>
          <w:ilvl w:val="0"/>
          <w:numId w:val="0"/>
        </w:numPr>
        <w:spacing w:lineRule="auto" w:line="360"/>
        <w:ind w:left="0" w:hanging="0"/>
        <w:rPr/>
      </w:pPr>
      <w:r>
        <w:rPr>
          <w:b/>
          <w:bCs/>
          <w:sz w:val="22"/>
          <w:szCs w:val="22"/>
        </w:rPr>
        <w:t>11.1.</w:t>
      </w:r>
      <w:r>
        <w:rPr>
          <w:sz w:val="22"/>
          <w:szCs w:val="22"/>
        </w:rPr>
        <w:t xml:space="preserve"> Comete infração administrativa, nos termos da </w:t>
      </w:r>
      <w:hyperlink r:id="rId3">
        <w:r>
          <w:rPr>
            <w:rStyle w:val="LinkdaInternet"/>
            <w:sz w:val="22"/>
            <w:szCs w:val="22"/>
          </w:rPr>
          <w:t>Lei nº 14.133, de 2021</w:t>
        </w:r>
      </w:hyperlink>
      <w:r>
        <w:rPr>
          <w:sz w:val="22"/>
          <w:szCs w:val="22"/>
        </w:rPr>
        <w:t>, o contratado que:</w:t>
      </w:r>
    </w:p>
    <w:p>
      <w:pPr>
        <w:pStyle w:val="Nivel2"/>
        <w:numPr>
          <w:ilvl w:val="0"/>
          <w:numId w:val="0"/>
        </w:numPr>
        <w:spacing w:lineRule="auto" w:line="276" w:before="0" w:after="0"/>
        <w:ind w:left="0" w:hanging="0"/>
        <w:rPr>
          <w:sz w:val="22"/>
          <w:szCs w:val="22"/>
        </w:rPr>
      </w:pPr>
      <w:r>
        <w:rPr>
          <w:sz w:val="22"/>
          <w:szCs w:val="22"/>
        </w:rPr>
      </w:r>
    </w:p>
    <w:p>
      <w:pPr>
        <w:pStyle w:val="Normal"/>
        <w:numPr>
          <w:ilvl w:val="2"/>
          <w:numId w:val="5"/>
        </w:numPr>
        <w:suppressAutoHyphens w:val="true"/>
        <w:spacing w:lineRule="auto" w:line="360" w:before="0" w:after="0"/>
        <w:ind w:left="284" w:hanging="0"/>
        <w:jc w:val="both"/>
        <w:rPr>
          <w:sz w:val="22"/>
          <w:szCs w:val="22"/>
        </w:rPr>
      </w:pPr>
      <w:r>
        <w:rPr>
          <w:rFonts w:eastAsia="Arial" w:cs="Arial" w:ascii="Arial" w:hAnsi="Arial"/>
          <w:sz w:val="22"/>
          <w:szCs w:val="22"/>
        </w:rPr>
        <w:t>der causa à inexecução parcial do contrato;</w:t>
      </w:r>
    </w:p>
    <w:p>
      <w:pPr>
        <w:pStyle w:val="Normal"/>
        <w:numPr>
          <w:ilvl w:val="2"/>
          <w:numId w:val="5"/>
        </w:numPr>
        <w:suppressAutoHyphens w:val="true"/>
        <w:spacing w:lineRule="auto" w:line="360" w:before="120" w:after="120"/>
        <w:ind w:left="284" w:hanging="0"/>
        <w:jc w:val="both"/>
        <w:rPr>
          <w:sz w:val="22"/>
          <w:szCs w:val="22"/>
        </w:rPr>
      </w:pPr>
      <w:r>
        <w:rPr>
          <w:rFonts w:eastAsia="Arial" w:cs="Arial" w:ascii="Arial" w:hAnsi="Arial"/>
          <w:sz w:val="22"/>
          <w:szCs w:val="22"/>
        </w:rPr>
        <w:t>der causa à inexecução parcial do contrato que cause grave dano à Administração ou ao funcionamento dos serviços públicos ou ao interesse coletivo;</w:t>
      </w:r>
    </w:p>
    <w:p>
      <w:pPr>
        <w:pStyle w:val="Normal"/>
        <w:numPr>
          <w:ilvl w:val="2"/>
          <w:numId w:val="5"/>
        </w:numPr>
        <w:suppressAutoHyphens w:val="true"/>
        <w:spacing w:lineRule="auto" w:line="360" w:before="120" w:after="120"/>
        <w:ind w:left="284" w:hanging="0"/>
        <w:jc w:val="both"/>
        <w:rPr>
          <w:sz w:val="22"/>
          <w:szCs w:val="22"/>
        </w:rPr>
      </w:pPr>
      <w:r>
        <w:rPr>
          <w:rFonts w:eastAsia="Arial" w:cs="Arial" w:ascii="Arial" w:hAnsi="Arial"/>
          <w:sz w:val="22"/>
          <w:szCs w:val="22"/>
        </w:rPr>
        <w:t>der causa à inexecução total do contrato;</w:t>
      </w:r>
    </w:p>
    <w:p>
      <w:pPr>
        <w:pStyle w:val="Normal"/>
        <w:numPr>
          <w:ilvl w:val="2"/>
          <w:numId w:val="5"/>
        </w:numPr>
        <w:suppressAutoHyphens w:val="true"/>
        <w:spacing w:lineRule="auto" w:line="360" w:before="120" w:after="120"/>
        <w:ind w:left="284" w:hanging="0"/>
        <w:jc w:val="both"/>
        <w:rPr>
          <w:sz w:val="22"/>
          <w:szCs w:val="22"/>
        </w:rPr>
      </w:pPr>
      <w:r>
        <w:rPr>
          <w:rFonts w:eastAsia="Arial" w:cs="Arial" w:ascii="Arial" w:hAnsi="Arial"/>
          <w:sz w:val="22"/>
          <w:szCs w:val="22"/>
        </w:rPr>
        <w:t>ensejar o retardamento da execução ou da entrega do objeto da contratação sem motivo justificado;</w:t>
      </w:r>
    </w:p>
    <w:p>
      <w:pPr>
        <w:pStyle w:val="Normal"/>
        <w:numPr>
          <w:ilvl w:val="2"/>
          <w:numId w:val="5"/>
        </w:numPr>
        <w:suppressAutoHyphens w:val="true"/>
        <w:spacing w:lineRule="auto" w:line="360" w:before="120" w:after="120"/>
        <w:ind w:left="284" w:hanging="0"/>
        <w:jc w:val="both"/>
        <w:rPr>
          <w:sz w:val="22"/>
          <w:szCs w:val="22"/>
        </w:rPr>
      </w:pPr>
      <w:r>
        <w:rPr>
          <w:rFonts w:eastAsia="Arial" w:cs="Arial" w:ascii="Arial" w:hAnsi="Arial"/>
          <w:sz w:val="22"/>
          <w:szCs w:val="22"/>
        </w:rPr>
        <w:t>apresentar documentação falsa ou prestar declaração falsa durante a execução do contrato;</w:t>
      </w:r>
    </w:p>
    <w:p>
      <w:pPr>
        <w:pStyle w:val="Normal"/>
        <w:numPr>
          <w:ilvl w:val="2"/>
          <w:numId w:val="5"/>
        </w:numPr>
        <w:suppressAutoHyphens w:val="true"/>
        <w:spacing w:lineRule="auto" w:line="360" w:before="120" w:after="120"/>
        <w:ind w:left="284" w:hanging="0"/>
        <w:jc w:val="both"/>
        <w:rPr>
          <w:rFonts w:ascii="Arial" w:hAnsi="Arial"/>
          <w:sz w:val="22"/>
          <w:szCs w:val="22"/>
        </w:rPr>
      </w:pPr>
      <w:r>
        <w:rPr>
          <w:rFonts w:eastAsia="Arial" w:cs="Arial" w:ascii="Arial" w:hAnsi="Arial"/>
          <w:sz w:val="22"/>
          <w:szCs w:val="22"/>
        </w:rPr>
        <w:t>praticar ato fraudulento na execução do contrato;</w:t>
      </w:r>
    </w:p>
    <w:p>
      <w:pPr>
        <w:pStyle w:val="Normal"/>
        <w:numPr>
          <w:ilvl w:val="2"/>
          <w:numId w:val="5"/>
        </w:numPr>
        <w:suppressAutoHyphens w:val="true"/>
        <w:spacing w:lineRule="auto" w:line="360" w:before="120" w:after="120"/>
        <w:ind w:left="284" w:hanging="0"/>
        <w:jc w:val="both"/>
        <w:rPr>
          <w:rFonts w:ascii="Arial" w:hAnsi="Arial"/>
          <w:sz w:val="22"/>
          <w:szCs w:val="22"/>
        </w:rPr>
      </w:pPr>
      <w:r>
        <w:rPr>
          <w:rFonts w:eastAsia="Arial" w:cs="Arial" w:ascii="Arial" w:hAnsi="Arial"/>
          <w:sz w:val="22"/>
          <w:szCs w:val="22"/>
        </w:rPr>
        <w:t>comportar-se de modo inidôneo ou cometer fraude de qualquer natureza;</w:t>
      </w:r>
    </w:p>
    <w:p>
      <w:pPr>
        <w:pStyle w:val="Normal"/>
        <w:numPr>
          <w:ilvl w:val="2"/>
          <w:numId w:val="5"/>
        </w:numPr>
        <w:suppressAutoHyphens w:val="true"/>
        <w:spacing w:lineRule="auto" w:line="360" w:before="120" w:after="120"/>
        <w:ind w:left="284" w:hanging="0"/>
        <w:jc w:val="both"/>
        <w:rPr/>
      </w:pPr>
      <w:r>
        <w:rPr>
          <w:rFonts w:eastAsia="Arial" w:cs="Arial" w:ascii="Arial" w:hAnsi="Arial"/>
          <w:sz w:val="22"/>
          <w:szCs w:val="22"/>
        </w:rPr>
        <w:t xml:space="preserve">praticar ato lesivo previsto no </w:t>
      </w:r>
      <w:r>
        <w:fldChar w:fldCharType="begin"/>
      </w:r>
      <w:r>
        <w:rPr>
          <w:rStyle w:val="LinkdaInternet"/>
          <w:sz w:val="22"/>
          <w:szCs w:val="22"/>
          <w:rFonts w:eastAsia="Arial" w:cs="Arial" w:ascii="Arial" w:hAnsi="Arial"/>
        </w:rPr>
        <w:instrText xml:space="preserve"> HYPERLINK "https://www.planalto.gov.br/ccivil_03/_ato2011-2014/2013/lei/l12846.htm" \l "art5"</w:instrText>
      </w:r>
      <w:r>
        <w:rPr>
          <w:rStyle w:val="LinkdaInternet"/>
          <w:sz w:val="22"/>
          <w:szCs w:val="22"/>
          <w:rFonts w:eastAsia="Arial" w:cs="Arial" w:ascii="Arial" w:hAnsi="Arial"/>
        </w:rPr>
        <w:fldChar w:fldCharType="separate"/>
      </w:r>
      <w:r>
        <w:rPr>
          <w:rStyle w:val="LinkdaInternet"/>
          <w:rFonts w:eastAsia="Arial" w:cs="Arial" w:ascii="Arial" w:hAnsi="Arial"/>
          <w:sz w:val="22"/>
          <w:szCs w:val="22"/>
        </w:rPr>
        <w:t>art. 5º da Lei nº 12.846, de 1º de agosto de 2013</w:t>
      </w:r>
      <w:r>
        <w:rPr>
          <w:rStyle w:val="LinkdaInternet"/>
          <w:sz w:val="22"/>
          <w:szCs w:val="22"/>
          <w:rFonts w:eastAsia="Arial" w:cs="Arial" w:ascii="Arial" w:hAnsi="Arial"/>
        </w:rPr>
        <w:fldChar w:fldCharType="end"/>
      </w:r>
      <w:r>
        <w:rPr>
          <w:rFonts w:eastAsia="Arial" w:cs="Arial" w:ascii="Arial" w:hAnsi="Arial"/>
          <w:sz w:val="22"/>
          <w:szCs w:val="22"/>
        </w:rPr>
        <w:t>.</w:t>
      </w:r>
    </w:p>
    <w:p>
      <w:pPr>
        <w:pStyle w:val="Nivel2"/>
        <w:numPr>
          <w:ilvl w:val="0"/>
          <w:numId w:val="0"/>
        </w:numPr>
        <w:spacing w:lineRule="auto" w:line="360" w:before="0" w:after="0"/>
        <w:ind w:left="0" w:hanging="0"/>
        <w:rPr>
          <w:rFonts w:ascii="Arial" w:hAnsi="Arial"/>
          <w:sz w:val="22"/>
          <w:szCs w:val="22"/>
        </w:rPr>
      </w:pPr>
      <w:r>
        <w:rPr>
          <w:sz w:val="22"/>
          <w:szCs w:val="22"/>
        </w:rPr>
      </w:r>
    </w:p>
    <w:p>
      <w:pPr>
        <w:pStyle w:val="Nivel2"/>
        <w:numPr>
          <w:ilvl w:val="0"/>
          <w:numId w:val="0"/>
        </w:numPr>
        <w:spacing w:lineRule="auto" w:line="360" w:before="0" w:after="0"/>
        <w:ind w:left="0" w:hanging="0"/>
        <w:rPr>
          <w:rFonts w:ascii="Arial" w:hAnsi="Arial"/>
          <w:sz w:val="22"/>
          <w:szCs w:val="22"/>
        </w:rPr>
      </w:pPr>
      <w:r>
        <w:rPr>
          <w:b/>
          <w:bCs/>
          <w:sz w:val="22"/>
          <w:szCs w:val="22"/>
        </w:rPr>
        <w:t>11.2.</w:t>
      </w:r>
      <w:r>
        <w:rPr>
          <w:sz w:val="22"/>
          <w:szCs w:val="22"/>
        </w:rPr>
        <w:t xml:space="preserve"> Serão aplicadas ao contratado que incorrer nas infrações acima descritas as seguintes sanções:</w:t>
      </w:r>
    </w:p>
    <w:p>
      <w:pPr>
        <w:pStyle w:val="Normal"/>
        <w:numPr>
          <w:ilvl w:val="2"/>
          <w:numId w:val="6"/>
        </w:numPr>
        <w:suppressAutoHyphens w:val="true"/>
        <w:spacing w:lineRule="auto" w:line="360" w:before="120" w:after="120"/>
        <w:ind w:left="284" w:hanging="0"/>
        <w:contextualSpacing/>
        <w:jc w:val="both"/>
        <w:rPr/>
      </w:pPr>
      <w:r>
        <w:rPr>
          <w:rFonts w:eastAsia="Arial" w:cs="Arial" w:ascii="Arial" w:hAnsi="Arial"/>
          <w:b/>
          <w:bCs/>
          <w:sz w:val="22"/>
          <w:szCs w:val="22"/>
        </w:rPr>
        <w:t>Advertência</w:t>
      </w:r>
      <w:r>
        <w:rPr>
          <w:rFonts w:eastAsia="Arial" w:cs="Arial" w:ascii="Arial" w:hAnsi="Arial"/>
          <w:sz w:val="22"/>
          <w:szCs w:val="22"/>
        </w:rPr>
        <w:t>, quando o contratado der causa à inexecução parcial do contrato, sempre que não se justificar a imposição de penalidade mais grave (</w:t>
      </w:r>
      <w:r>
        <w:fldChar w:fldCharType="begin"/>
      </w:r>
      <w:r>
        <w:rPr>
          <w:rStyle w:val="LinkdaInternet"/>
          <w:sz w:val="22"/>
          <w:szCs w:val="22"/>
          <w:rFonts w:eastAsia="Arial" w:cs="Arial" w:ascii="Arial" w:hAnsi="Arial"/>
        </w:rPr>
        <w:instrText xml:space="preserve"> HYPERLINK "http://www.planalto.gov.br/ccivil_03/_ato2019-2022/2021/lei/L14133.htm" \l "art156§2"</w:instrText>
      </w:r>
      <w:r>
        <w:rPr>
          <w:rStyle w:val="LinkdaInternet"/>
          <w:sz w:val="22"/>
          <w:szCs w:val="22"/>
          <w:rFonts w:eastAsia="Arial" w:cs="Arial" w:ascii="Arial" w:hAnsi="Arial"/>
        </w:rPr>
        <w:fldChar w:fldCharType="separate"/>
      </w:r>
      <w:r>
        <w:rPr>
          <w:rStyle w:val="LinkdaInternet"/>
          <w:rFonts w:eastAsia="Arial" w:cs="Arial" w:ascii="Arial" w:hAnsi="Arial"/>
          <w:sz w:val="22"/>
          <w:szCs w:val="22"/>
        </w:rPr>
        <w:t xml:space="preserve">art. 156, §2º, da </w:t>
      </w:r>
      <w:r>
        <w:rPr>
          <w:rStyle w:val="LinkdaInternet"/>
          <w:sz w:val="22"/>
          <w:szCs w:val="22"/>
          <w:rFonts w:eastAsia="Arial" w:cs="Arial" w:ascii="Arial" w:hAnsi="Arial"/>
        </w:rPr>
        <w:fldChar w:fldCharType="end"/>
      </w:r>
      <w:bookmarkStart w:id="2" w:name="_Hlk114504069"/>
      <w:r>
        <w:rPr>
          <w:rStyle w:val="LinkdaInternet"/>
          <w:rFonts w:eastAsia="Arial" w:cs="Arial" w:ascii="Arial" w:hAnsi="Arial"/>
          <w:sz w:val="22"/>
          <w:szCs w:val="22"/>
        </w:rPr>
        <w:t>Lei nº 14.133, de 2021</w:t>
      </w:r>
      <w:bookmarkEnd w:id="2"/>
      <w:r>
        <w:rPr>
          <w:rFonts w:eastAsia="Arial" w:cs="Arial" w:ascii="Arial" w:hAnsi="Arial"/>
          <w:sz w:val="22"/>
          <w:szCs w:val="22"/>
        </w:rPr>
        <w:t>);</w:t>
      </w:r>
    </w:p>
    <w:p>
      <w:pPr>
        <w:pStyle w:val="Normal"/>
        <w:numPr>
          <w:ilvl w:val="2"/>
          <w:numId w:val="6"/>
        </w:numPr>
        <w:suppressAutoHyphens w:val="true"/>
        <w:spacing w:lineRule="auto" w:line="360" w:before="120" w:after="120"/>
        <w:ind w:left="284" w:hanging="0"/>
        <w:contextualSpacing/>
        <w:jc w:val="both"/>
        <w:rPr/>
      </w:pPr>
      <w:r>
        <w:rPr>
          <w:rFonts w:eastAsia="Arial" w:cs="Arial" w:ascii="Arial" w:hAnsi="Arial"/>
          <w:b/>
          <w:bCs/>
          <w:sz w:val="22"/>
          <w:szCs w:val="22"/>
        </w:rPr>
        <w:t>Impedimento de licitar e contratar</w:t>
      </w:r>
      <w:r>
        <w:rPr>
          <w:rFonts w:eastAsia="Arial" w:cs="Arial" w:ascii="Arial" w:hAnsi="Arial"/>
          <w:sz w:val="22"/>
          <w:szCs w:val="22"/>
        </w:rPr>
        <w:t>, quando praticadas as condutas descritas nas alíneas “b”, “c” e “d” do subitem acima deste Contrato, sempre que não se justificar a imposição de penalidade mais grave (</w:t>
      </w:r>
      <w:r>
        <w:fldChar w:fldCharType="begin"/>
      </w:r>
      <w:r>
        <w:rPr>
          <w:rStyle w:val="LinkdaInternet"/>
          <w:sz w:val="22"/>
          <w:szCs w:val="22"/>
          <w:rFonts w:eastAsia="Arial" w:cs="Arial" w:ascii="Arial" w:hAnsi="Arial"/>
        </w:rPr>
        <w:instrText xml:space="preserve"> HYPERLINK "http://www.planalto.gov.br/ccivil_03/_ato2019-2022/2021/lei/L14133.htm" \l "art156§4"</w:instrText>
      </w:r>
      <w:r>
        <w:rPr>
          <w:rStyle w:val="LinkdaInternet"/>
          <w:sz w:val="22"/>
          <w:szCs w:val="22"/>
          <w:rFonts w:eastAsia="Arial" w:cs="Arial" w:ascii="Arial" w:hAnsi="Arial"/>
        </w:rPr>
        <w:fldChar w:fldCharType="separate"/>
      </w:r>
      <w:r>
        <w:rPr>
          <w:rStyle w:val="LinkdaInternet"/>
          <w:rFonts w:eastAsia="Arial" w:cs="Arial" w:ascii="Arial" w:hAnsi="Arial"/>
          <w:sz w:val="22"/>
          <w:szCs w:val="22"/>
        </w:rPr>
        <w:t>art. 156, § 4º, da Lei nº 14.133, de 2021</w:t>
      </w:r>
      <w:r>
        <w:rPr>
          <w:rStyle w:val="LinkdaInternet"/>
          <w:sz w:val="22"/>
          <w:szCs w:val="22"/>
          <w:rFonts w:eastAsia="Arial" w:cs="Arial" w:ascii="Arial" w:hAnsi="Arial"/>
        </w:rPr>
        <w:fldChar w:fldCharType="end"/>
      </w:r>
      <w:r>
        <w:rPr>
          <w:rFonts w:eastAsia="Arial" w:cs="Arial" w:ascii="Arial" w:hAnsi="Arial"/>
          <w:sz w:val="22"/>
          <w:szCs w:val="22"/>
        </w:rPr>
        <w:t>);</w:t>
      </w:r>
    </w:p>
    <w:p>
      <w:pPr>
        <w:pStyle w:val="Normal"/>
        <w:numPr>
          <w:ilvl w:val="2"/>
          <w:numId w:val="6"/>
        </w:numPr>
        <w:suppressAutoHyphens w:val="true"/>
        <w:spacing w:lineRule="auto" w:line="360" w:before="120" w:after="120"/>
        <w:ind w:left="284" w:hanging="0"/>
        <w:contextualSpacing/>
        <w:jc w:val="both"/>
        <w:rPr/>
      </w:pPr>
      <w:r>
        <w:rPr>
          <w:rFonts w:eastAsia="Arial" w:cs="Arial" w:ascii="Arial" w:hAnsi="Arial"/>
          <w:b/>
          <w:bCs/>
          <w:sz w:val="22"/>
          <w:szCs w:val="22"/>
        </w:rPr>
        <w:t>Declaração de inidoneidade para licitar e contratar</w:t>
      </w:r>
      <w:r>
        <w:rPr>
          <w:rFonts w:eastAsia="Arial" w:cs="Arial" w:ascii="Arial" w:hAnsi="Arial"/>
          <w:sz w:val="22"/>
          <w:szCs w:val="22"/>
        </w:rPr>
        <w:t>, quando praticadas as condutas descritas nas alíneas “e”, “f”, “g” e “h” do subitem acima deste Contrato, bem como nas alíneas “b”, “c” e “d”, que justifiquem a imposição de penalidade mais grave (</w:t>
      </w:r>
      <w:r>
        <w:fldChar w:fldCharType="begin"/>
      </w:r>
      <w:r>
        <w:rPr>
          <w:rStyle w:val="LinkdaInternet"/>
          <w:sz w:val="22"/>
          <w:szCs w:val="22"/>
          <w:rFonts w:eastAsia="Arial" w:cs="Arial" w:ascii="Arial" w:hAnsi="Arial"/>
        </w:rPr>
        <w:instrText xml:space="preserve"> HYPERLINK "http://www.planalto.gov.br/ccivil_03/_ato2019-2022/2021/lei/L14133.htm" \l "art156§5"</w:instrText>
      </w:r>
      <w:r>
        <w:rPr>
          <w:rStyle w:val="LinkdaInternet"/>
          <w:sz w:val="22"/>
          <w:szCs w:val="22"/>
          <w:rFonts w:eastAsia="Arial" w:cs="Arial" w:ascii="Arial" w:hAnsi="Arial"/>
        </w:rPr>
        <w:fldChar w:fldCharType="separate"/>
      </w:r>
      <w:r>
        <w:rPr>
          <w:rStyle w:val="LinkdaInternet"/>
          <w:rFonts w:eastAsia="Arial" w:cs="Arial" w:ascii="Arial" w:hAnsi="Arial"/>
          <w:sz w:val="22"/>
          <w:szCs w:val="22"/>
        </w:rPr>
        <w:t>art. 156, §5º, da Lei nº 14.133, de 2021</w:t>
      </w:r>
      <w:r>
        <w:rPr>
          <w:rStyle w:val="LinkdaInternet"/>
          <w:sz w:val="22"/>
          <w:szCs w:val="22"/>
          <w:rFonts w:eastAsia="Arial" w:cs="Arial" w:ascii="Arial" w:hAnsi="Arial"/>
        </w:rPr>
        <w:fldChar w:fldCharType="end"/>
      </w:r>
      <w:r>
        <w:rPr>
          <w:rFonts w:eastAsia="Arial" w:cs="Arial" w:ascii="Arial" w:hAnsi="Arial"/>
          <w:sz w:val="22"/>
          <w:szCs w:val="22"/>
        </w:rPr>
        <w:t>).</w:t>
      </w:r>
    </w:p>
    <w:p>
      <w:pPr>
        <w:pStyle w:val="Normal"/>
        <w:numPr>
          <w:ilvl w:val="2"/>
          <w:numId w:val="6"/>
        </w:numPr>
        <w:suppressAutoHyphens w:val="true"/>
        <w:spacing w:lineRule="auto" w:line="360" w:before="120" w:after="120"/>
        <w:ind w:left="284" w:hanging="0"/>
        <w:contextualSpacing/>
        <w:jc w:val="both"/>
        <w:rPr>
          <w:rFonts w:ascii="Arial" w:hAnsi="Arial"/>
          <w:sz w:val="22"/>
          <w:szCs w:val="22"/>
        </w:rPr>
      </w:pPr>
      <w:r>
        <w:rPr>
          <w:rFonts w:eastAsia="Arial" w:cs="Arial" w:ascii="Arial" w:hAnsi="Arial"/>
          <w:b/>
          <w:bCs/>
          <w:sz w:val="22"/>
          <w:szCs w:val="22"/>
        </w:rPr>
        <w:t>Multa:</w:t>
      </w:r>
    </w:p>
    <w:p>
      <w:pPr>
        <w:pStyle w:val="Normal"/>
        <w:numPr>
          <w:ilvl w:val="0"/>
          <w:numId w:val="0"/>
        </w:numPr>
        <w:suppressAutoHyphens w:val="true"/>
        <w:spacing w:lineRule="auto" w:line="360" w:before="120" w:after="120"/>
        <w:ind w:left="0" w:hanging="0"/>
        <w:contextualSpacing/>
        <w:jc w:val="both"/>
        <w:rPr>
          <w:rFonts w:ascii="Arial" w:hAnsi="Arial"/>
          <w:sz w:val="22"/>
          <w:szCs w:val="22"/>
        </w:rPr>
      </w:pPr>
      <w:r>
        <w:rPr>
          <w:rFonts w:ascii="Arial" w:hAnsi="Arial"/>
          <w:sz w:val="22"/>
          <w:szCs w:val="22"/>
        </w:rPr>
      </w:r>
    </w:p>
    <w:p>
      <w:pPr>
        <w:pStyle w:val="Normal"/>
        <w:numPr>
          <w:ilvl w:val="0"/>
          <w:numId w:val="0"/>
        </w:numPr>
        <w:suppressAutoHyphens w:val="true"/>
        <w:spacing w:lineRule="auto" w:line="360" w:before="120" w:after="120"/>
        <w:ind w:left="0" w:hanging="0"/>
        <w:contextualSpacing/>
        <w:jc w:val="both"/>
        <w:rPr>
          <w:rFonts w:ascii="Arial" w:hAnsi="Arial"/>
          <w:sz w:val="22"/>
          <w:szCs w:val="22"/>
        </w:rPr>
      </w:pPr>
      <w:r>
        <w:rPr>
          <w:rFonts w:eastAsia="Arial" w:cs="Arial" w:ascii="Arial" w:hAnsi="Arial"/>
          <w:b/>
          <w:bCs/>
          <w:sz w:val="22"/>
          <w:szCs w:val="22"/>
        </w:rPr>
        <w:t>1)</w:t>
      </w:r>
      <w:r>
        <w:rPr>
          <w:rFonts w:eastAsia="Arial" w:cs="Arial" w:ascii="Arial" w:hAnsi="Arial"/>
          <w:b w:val="false"/>
          <w:bCs w:val="false"/>
          <w:sz w:val="22"/>
          <w:szCs w:val="22"/>
        </w:rPr>
        <w:t xml:space="preserve"> </w:t>
      </w:r>
      <w:r>
        <w:rPr>
          <w:rFonts w:eastAsia="Tahoma" w:cs="Arial" w:ascii="Arial" w:hAnsi="Arial"/>
          <w:b w:val="false"/>
          <w:bCs w:val="false"/>
          <w:sz w:val="22"/>
          <w:szCs w:val="22"/>
        </w:rPr>
        <w:t xml:space="preserve"> </w:t>
      </w:r>
      <w:r>
        <w:rPr>
          <w:rFonts w:eastAsia="Tahoma" w:cs="Arial" w:ascii="Arial" w:hAnsi="Arial"/>
          <w:sz w:val="22"/>
          <w:szCs w:val="22"/>
        </w:rPr>
        <w:t>multa de mora de até 0,1 (um décimo por cento), por dia útil, sobre o valor do CONTRATO, até o período máximo de 30 (trinta) dias úteis;</w:t>
      </w:r>
    </w:p>
    <w:p>
      <w:pPr>
        <w:pStyle w:val="Normal"/>
        <w:numPr>
          <w:ilvl w:val="0"/>
          <w:numId w:val="0"/>
        </w:numPr>
        <w:suppressAutoHyphens w:val="true"/>
        <w:spacing w:lineRule="auto" w:line="360" w:before="120" w:after="120"/>
        <w:ind w:left="0" w:hanging="0"/>
        <w:contextualSpacing/>
        <w:jc w:val="both"/>
        <w:rPr>
          <w:rFonts w:ascii="Arial" w:hAnsi="Arial"/>
          <w:sz w:val="22"/>
          <w:szCs w:val="22"/>
        </w:rPr>
      </w:pPr>
      <w:r>
        <w:rPr>
          <w:rFonts w:ascii="Arial" w:hAnsi="Arial"/>
          <w:sz w:val="22"/>
          <w:szCs w:val="22"/>
        </w:rPr>
      </w:r>
    </w:p>
    <w:p>
      <w:pPr>
        <w:pStyle w:val="Normal"/>
        <w:numPr>
          <w:ilvl w:val="0"/>
          <w:numId w:val="0"/>
        </w:numPr>
        <w:suppressAutoHyphens w:val="true"/>
        <w:spacing w:lineRule="auto" w:line="360" w:before="120" w:after="120"/>
        <w:ind w:left="0" w:hanging="0"/>
        <w:contextualSpacing/>
        <w:jc w:val="both"/>
        <w:rPr>
          <w:rFonts w:ascii="Arial" w:hAnsi="Arial"/>
          <w:sz w:val="22"/>
          <w:szCs w:val="22"/>
        </w:rPr>
      </w:pPr>
      <w:r>
        <w:rPr>
          <w:rFonts w:eastAsia="Tahoma" w:cs="Arial" w:ascii="Arial" w:hAnsi="Arial"/>
          <w:b/>
          <w:bCs/>
          <w:i w:val="false"/>
          <w:iCs w:val="false"/>
          <w:color w:val="000000"/>
          <w:sz w:val="22"/>
          <w:szCs w:val="22"/>
        </w:rPr>
        <w:t>2)</w:t>
      </w:r>
      <w:r>
        <w:rPr>
          <w:rFonts w:eastAsia="Tahoma" w:cs="Arial" w:ascii="Arial" w:hAnsi="Arial"/>
          <w:i w:val="false"/>
          <w:iCs w:val="false"/>
          <w:color w:val="000000"/>
          <w:sz w:val="22"/>
          <w:szCs w:val="22"/>
        </w:rPr>
        <w:t xml:space="preserve"> multa de até 20% (vinte por cento) sobre o valor do CONTRATO, após esgotado o prazo fixado no subitem anterior;</w:t>
      </w:r>
    </w:p>
    <w:p>
      <w:pPr>
        <w:pStyle w:val="Normal"/>
        <w:numPr>
          <w:ilvl w:val="0"/>
          <w:numId w:val="0"/>
        </w:numPr>
        <w:suppressAutoHyphens w:val="true"/>
        <w:spacing w:lineRule="auto" w:line="360" w:before="120" w:after="120"/>
        <w:ind w:left="0" w:hanging="0"/>
        <w:contextualSpacing/>
        <w:jc w:val="both"/>
        <w:rPr>
          <w:rFonts w:eastAsia="Arial" w:cs="Arial"/>
          <w:i w:val="false"/>
          <w:i w:val="false"/>
          <w:iCs w:val="false"/>
          <w:color w:val="000000"/>
        </w:rPr>
      </w:pPr>
      <w:r>
        <w:rPr>
          <w:rFonts w:eastAsia="Arial" w:cs="Arial"/>
          <w:i w:val="false"/>
          <w:iCs w:val="false"/>
          <w:color w:val="000000"/>
        </w:rPr>
      </w:r>
    </w:p>
    <w:p>
      <w:pPr>
        <w:pStyle w:val="Normal"/>
        <w:numPr>
          <w:ilvl w:val="0"/>
          <w:numId w:val="0"/>
        </w:numPr>
        <w:suppressAutoHyphens w:val="true"/>
        <w:spacing w:lineRule="auto" w:line="360" w:before="120" w:after="120"/>
        <w:ind w:left="0" w:hanging="0"/>
        <w:contextualSpacing/>
        <w:jc w:val="both"/>
        <w:rPr/>
      </w:pPr>
      <w:r>
        <w:rPr>
          <w:rFonts w:eastAsia="Arial" w:cs="Arial" w:ascii="Arial" w:hAnsi="Arial"/>
          <w:b/>
          <w:bCs/>
          <w:i w:val="false"/>
          <w:iCs w:val="false"/>
          <w:color w:val="000000"/>
          <w:sz w:val="22"/>
          <w:szCs w:val="22"/>
        </w:rPr>
        <w:t>3)</w:t>
      </w:r>
      <w:r>
        <w:rPr>
          <w:rFonts w:eastAsia="Arial" w:cs="Arial" w:ascii="Arial" w:hAnsi="Arial"/>
          <w:i w:val="false"/>
          <w:iCs w:val="false"/>
          <w:color w:val="000000"/>
          <w:sz w:val="22"/>
          <w:szCs w:val="22"/>
        </w:rPr>
        <w:t xml:space="preserve"> O atraso superior a </w:t>
      </w:r>
      <w:r>
        <w:rPr>
          <w:rFonts w:eastAsia="Arial" w:cs="Arial" w:ascii="Arial" w:hAnsi="Arial"/>
          <w:i w:val="false"/>
          <w:iCs w:val="false"/>
          <w:color w:val="000000"/>
          <w:sz w:val="22"/>
          <w:szCs w:val="22"/>
          <w:shd w:fill="auto" w:val="clear"/>
        </w:rPr>
        <w:t xml:space="preserve">25 (vinte e cinco) </w:t>
      </w:r>
      <w:r>
        <w:rPr>
          <w:rFonts w:eastAsia="Arial" w:cs="Arial" w:ascii="Arial" w:hAnsi="Arial"/>
          <w:i w:val="false"/>
          <w:iCs w:val="false"/>
          <w:color w:val="000000"/>
          <w:sz w:val="22"/>
          <w:szCs w:val="22"/>
        </w:rPr>
        <w:t xml:space="preserve">dias autoriza a Administração a promover a extinção do contrato por descumprimento ou cumprimento irregular de suas cláusulas, conforme dispõe o </w:t>
      </w:r>
      <w:r>
        <w:fldChar w:fldCharType="begin"/>
      </w:r>
      <w:r>
        <w:rPr>
          <w:rStyle w:val="LinkdaInternet"/>
          <w:sz w:val="22"/>
          <w:i w:val="false"/>
          <w:szCs w:val="22"/>
          <w:iCs w:val="false"/>
          <w:rFonts w:eastAsia="Arial" w:cs="Arial" w:ascii="Arial" w:hAnsi="Arial"/>
          <w:color w:val="000000"/>
        </w:rPr>
        <w:instrText xml:space="preserve"> HYPERLINK "http://www.planalto.gov.br/ccivil_03/_ato2019-2022/2021/lei/L14133.htm" \l "art137"</w:instrText>
      </w:r>
      <w:r>
        <w:rPr>
          <w:rStyle w:val="LinkdaInternet"/>
          <w:sz w:val="22"/>
          <w:i w:val="false"/>
          <w:szCs w:val="22"/>
          <w:iCs w:val="false"/>
          <w:rFonts w:eastAsia="Arial" w:cs="Arial" w:ascii="Arial" w:hAnsi="Arial"/>
          <w:color w:val="000000"/>
        </w:rPr>
        <w:fldChar w:fldCharType="separate"/>
      </w:r>
      <w:r>
        <w:rPr>
          <w:rStyle w:val="LinkdaInternet"/>
          <w:rFonts w:eastAsia="Arial" w:cs="Arial" w:ascii="Arial" w:hAnsi="Arial"/>
          <w:i w:val="false"/>
          <w:iCs w:val="false"/>
          <w:color w:val="000000"/>
          <w:sz w:val="22"/>
          <w:szCs w:val="22"/>
        </w:rPr>
        <w:t>inciso I do art. 137 da Lei n. 14.133, de 2021</w:t>
      </w:r>
      <w:r>
        <w:rPr>
          <w:rStyle w:val="LinkdaInternet"/>
          <w:sz w:val="22"/>
          <w:i w:val="false"/>
          <w:szCs w:val="22"/>
          <w:iCs w:val="false"/>
          <w:rFonts w:eastAsia="Arial" w:cs="Arial" w:ascii="Arial" w:hAnsi="Arial"/>
          <w:color w:val="000000"/>
        </w:rPr>
        <w:fldChar w:fldCharType="end"/>
      </w:r>
      <w:r>
        <w:rPr>
          <w:rFonts w:eastAsia="Arial" w:cs="Arial" w:ascii="Arial" w:hAnsi="Arial"/>
          <w:i w:val="false"/>
          <w:iCs w:val="false"/>
          <w:color w:val="000000"/>
          <w:sz w:val="22"/>
          <w:szCs w:val="22"/>
        </w:rPr>
        <w:t xml:space="preserve">. </w:t>
      </w:r>
    </w:p>
    <w:p>
      <w:pPr>
        <w:pStyle w:val="Normal"/>
        <w:numPr>
          <w:ilvl w:val="0"/>
          <w:numId w:val="0"/>
        </w:numPr>
        <w:suppressAutoHyphens w:val="true"/>
        <w:spacing w:lineRule="auto" w:line="360" w:before="120" w:after="120"/>
        <w:ind w:left="0" w:hanging="0"/>
        <w:contextualSpacing/>
        <w:jc w:val="both"/>
        <w:rPr>
          <w:rFonts w:ascii="Arial" w:hAnsi="Arial" w:eastAsia="Arial" w:cs="Arial"/>
          <w:sz w:val="22"/>
          <w:szCs w:val="22"/>
        </w:rPr>
      </w:pPr>
      <w:r>
        <w:rPr>
          <w:rFonts w:eastAsia="Arial" w:cs="Arial" w:ascii="Arial" w:hAnsi="Arial"/>
          <w:sz w:val="22"/>
          <w:szCs w:val="22"/>
        </w:rPr>
      </w:r>
    </w:p>
    <w:p>
      <w:pPr>
        <w:pStyle w:val="Nivel2"/>
        <w:numPr>
          <w:ilvl w:val="0"/>
          <w:numId w:val="0"/>
        </w:numPr>
        <w:spacing w:lineRule="auto" w:line="360"/>
        <w:ind w:left="0" w:hanging="0"/>
        <w:rPr/>
      </w:pPr>
      <w:r>
        <w:rPr>
          <w:b/>
          <w:bCs/>
          <w:sz w:val="22"/>
          <w:szCs w:val="22"/>
        </w:rPr>
        <w:t>11.3.</w:t>
      </w:r>
      <w:r>
        <w:rPr>
          <w:sz w:val="22"/>
          <w:szCs w:val="22"/>
        </w:rPr>
        <w:t xml:space="preserve"> A aplicação das sanções previstas neste Contrato não exclui, em hipótese alguma, a obrigação de reparação integral do dano causado ao Contratante (</w:t>
      </w:r>
      <w:r>
        <w:fldChar w:fldCharType="begin"/>
      </w:r>
      <w:r>
        <w:rPr>
          <w:rStyle w:val="LinkdaInternet"/>
          <w:sz w:val="22"/>
          <w:szCs w:val="22"/>
        </w:rPr>
        <w:instrText xml:space="preserve"> HYPERLINK "http://www.planalto.gov.br/ccivil_03/_ato2019-2022/2021/lei/L14133.htm" \l "art156§9"</w:instrText>
      </w:r>
      <w:r>
        <w:rPr>
          <w:rStyle w:val="LinkdaInternet"/>
          <w:sz w:val="22"/>
          <w:szCs w:val="22"/>
        </w:rPr>
        <w:fldChar w:fldCharType="separate"/>
      </w:r>
      <w:r>
        <w:rPr>
          <w:rStyle w:val="LinkdaInternet"/>
          <w:sz w:val="22"/>
          <w:szCs w:val="22"/>
        </w:rPr>
        <w:t>art. 156, §9º, da Lei nº 14.133, de 2021</w:t>
      </w:r>
      <w:r>
        <w:rPr>
          <w:rStyle w:val="LinkdaInternet"/>
          <w:sz w:val="22"/>
          <w:szCs w:val="22"/>
        </w:rPr>
        <w:fldChar w:fldCharType="end"/>
      </w:r>
      <w:r>
        <w:rPr>
          <w:sz w:val="22"/>
          <w:szCs w:val="22"/>
        </w:rPr>
        <w:t>)</w:t>
      </w:r>
    </w:p>
    <w:p>
      <w:pPr>
        <w:pStyle w:val="Nivel2"/>
        <w:numPr>
          <w:ilvl w:val="0"/>
          <w:numId w:val="0"/>
        </w:numPr>
        <w:spacing w:lineRule="auto" w:line="360" w:before="0" w:after="0"/>
        <w:ind w:left="0" w:hanging="0"/>
        <w:rPr>
          <w:rFonts w:ascii="Arial" w:hAnsi="Arial"/>
          <w:sz w:val="22"/>
          <w:szCs w:val="22"/>
        </w:rPr>
      </w:pPr>
      <w:r>
        <w:rPr>
          <w:sz w:val="22"/>
          <w:szCs w:val="22"/>
        </w:rPr>
      </w:r>
    </w:p>
    <w:p>
      <w:pPr>
        <w:pStyle w:val="Nivel2"/>
        <w:numPr>
          <w:ilvl w:val="0"/>
          <w:numId w:val="0"/>
        </w:numPr>
        <w:spacing w:lineRule="auto" w:line="360" w:before="0" w:after="0"/>
        <w:ind w:left="0" w:hanging="0"/>
        <w:rPr/>
      </w:pPr>
      <w:r>
        <w:rPr>
          <w:b/>
          <w:bCs/>
          <w:sz w:val="22"/>
          <w:szCs w:val="22"/>
        </w:rPr>
        <w:t>11.4.</w:t>
      </w:r>
      <w:r>
        <w:rPr>
          <w:sz w:val="22"/>
          <w:szCs w:val="22"/>
        </w:rPr>
        <w:t xml:space="preserve"> Todas as sanções previstas neste Contrato poderão ser aplicadas cumulativamente com a multa (</w:t>
      </w:r>
      <w:r>
        <w:fldChar w:fldCharType="begin"/>
      </w:r>
      <w:r>
        <w:rPr>
          <w:rStyle w:val="LinkdaInternet"/>
          <w:sz w:val="22"/>
          <w:szCs w:val="22"/>
        </w:rPr>
        <w:instrText xml:space="preserve"> HYPERLINK "http://www.planalto.gov.br/ccivil_03/_ato2019-2022/2021/lei/L14133.htm" \l "art156§7"</w:instrText>
      </w:r>
      <w:r>
        <w:rPr>
          <w:rStyle w:val="LinkdaInternet"/>
          <w:sz w:val="22"/>
          <w:szCs w:val="22"/>
        </w:rPr>
        <w:fldChar w:fldCharType="separate"/>
      </w:r>
      <w:r>
        <w:rPr>
          <w:rStyle w:val="LinkdaInternet"/>
          <w:sz w:val="22"/>
          <w:szCs w:val="22"/>
        </w:rPr>
        <w:t>art. 156, §7º, da Lei nº 14.133, de 2021</w:t>
      </w:r>
      <w:r>
        <w:rPr>
          <w:rStyle w:val="LinkdaInternet"/>
          <w:sz w:val="22"/>
          <w:szCs w:val="22"/>
        </w:rPr>
        <w:fldChar w:fldCharType="end"/>
      </w:r>
      <w:r>
        <w:rPr>
          <w:sz w:val="22"/>
          <w:szCs w:val="22"/>
        </w:rPr>
        <w:t>).</w:t>
      </w:r>
    </w:p>
    <w:p>
      <w:pPr>
        <w:pStyle w:val="Nivel3"/>
        <w:numPr>
          <w:ilvl w:val="0"/>
          <w:numId w:val="0"/>
        </w:numPr>
        <w:spacing w:lineRule="auto" w:line="360" w:before="0" w:after="0"/>
        <w:ind w:left="0" w:hanging="0"/>
        <w:rPr>
          <w:rFonts w:ascii="Arial" w:hAnsi="Arial"/>
          <w:sz w:val="22"/>
          <w:szCs w:val="22"/>
        </w:rPr>
      </w:pPr>
      <w:r>
        <w:rPr>
          <w:sz w:val="22"/>
          <w:szCs w:val="22"/>
        </w:rPr>
      </w:r>
    </w:p>
    <w:p>
      <w:pPr>
        <w:pStyle w:val="Nivel3"/>
        <w:numPr>
          <w:ilvl w:val="0"/>
          <w:numId w:val="0"/>
        </w:numPr>
        <w:spacing w:lineRule="auto" w:line="360" w:before="0" w:after="0"/>
        <w:ind w:left="0" w:hanging="0"/>
        <w:rPr/>
      </w:pPr>
      <w:r>
        <w:rPr>
          <w:b/>
          <w:bCs/>
          <w:sz w:val="22"/>
          <w:szCs w:val="22"/>
        </w:rPr>
        <w:t>11.4.1.</w:t>
      </w:r>
      <w:r>
        <w:rPr>
          <w:sz w:val="22"/>
          <w:szCs w:val="22"/>
        </w:rPr>
        <w:t xml:space="preserve"> Antes da aplicação da multa será facultada a defesa do interessado no prazo de 15 (quinze) dias úteis, contado da data de sua intimação (</w:t>
      </w:r>
      <w:r>
        <w:fldChar w:fldCharType="begin"/>
      </w:r>
      <w:r>
        <w:rPr>
          <w:rStyle w:val="LinkdaInternet"/>
          <w:sz w:val="22"/>
          <w:szCs w:val="22"/>
        </w:rPr>
        <w:instrText xml:space="preserve"> HYPERLINK "http://www.planalto.gov.br/ccivil_03/_ato2019-2022/2021/lei/L14133.htm" \l "art157"</w:instrText>
      </w:r>
      <w:r>
        <w:rPr>
          <w:rStyle w:val="LinkdaInternet"/>
          <w:sz w:val="22"/>
          <w:szCs w:val="22"/>
        </w:rPr>
        <w:fldChar w:fldCharType="separate"/>
      </w:r>
      <w:r>
        <w:rPr>
          <w:rStyle w:val="LinkdaInternet"/>
          <w:sz w:val="22"/>
          <w:szCs w:val="22"/>
        </w:rPr>
        <w:t>art. 157, da Lei nº 14.133, de 2021</w:t>
      </w:r>
      <w:r>
        <w:rPr>
          <w:rStyle w:val="LinkdaInternet"/>
          <w:sz w:val="22"/>
          <w:szCs w:val="22"/>
        </w:rPr>
        <w:fldChar w:fldCharType="end"/>
      </w:r>
      <w:r>
        <w:rPr>
          <w:sz w:val="22"/>
          <w:szCs w:val="22"/>
        </w:rPr>
        <w:t>)</w:t>
      </w:r>
    </w:p>
    <w:p>
      <w:pPr>
        <w:pStyle w:val="Nivel3"/>
        <w:numPr>
          <w:ilvl w:val="0"/>
          <w:numId w:val="0"/>
        </w:numPr>
        <w:spacing w:lineRule="auto" w:line="360" w:before="0" w:after="0"/>
        <w:ind w:left="0" w:hanging="0"/>
        <w:rPr>
          <w:rFonts w:ascii="Arial" w:hAnsi="Arial"/>
          <w:sz w:val="22"/>
          <w:szCs w:val="22"/>
        </w:rPr>
      </w:pPr>
      <w:r>
        <w:rPr>
          <w:sz w:val="22"/>
          <w:szCs w:val="22"/>
        </w:rPr>
      </w:r>
    </w:p>
    <w:p>
      <w:pPr>
        <w:pStyle w:val="Nivel3"/>
        <w:numPr>
          <w:ilvl w:val="0"/>
          <w:numId w:val="0"/>
        </w:numPr>
        <w:spacing w:lineRule="auto" w:line="360" w:before="0" w:after="0"/>
        <w:ind w:left="0" w:hanging="0"/>
        <w:rPr/>
      </w:pPr>
      <w:r>
        <w:rPr>
          <w:b/>
          <w:bCs/>
          <w:sz w:val="22"/>
          <w:szCs w:val="22"/>
        </w:rPr>
        <w:t>11.4.2.</w:t>
      </w:r>
      <w:r>
        <w:rPr>
          <w:sz w:val="22"/>
          <w:szCs w:val="22"/>
        </w:rPr>
        <w:t xml:space="preserve"> 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2"/>
          <w:szCs w:val="22"/>
        </w:rPr>
        <w:instrText xml:space="preserve"> HYPERLINK "http://www.planalto.gov.br/ccivil_03/_ato2019-2022/2021/lei/L14133.htm" \l "art156§8"</w:instrText>
      </w:r>
      <w:r>
        <w:rPr>
          <w:rStyle w:val="LinkdaInternet"/>
          <w:sz w:val="22"/>
          <w:szCs w:val="22"/>
        </w:rPr>
        <w:fldChar w:fldCharType="separate"/>
      </w:r>
      <w:r>
        <w:rPr>
          <w:rStyle w:val="LinkdaInternet"/>
          <w:sz w:val="22"/>
          <w:szCs w:val="22"/>
        </w:rPr>
        <w:t>art. 156, §8º, da Lei nº 14.133, de 2021</w:t>
      </w:r>
      <w:r>
        <w:rPr>
          <w:rStyle w:val="LinkdaInternet"/>
          <w:sz w:val="22"/>
          <w:szCs w:val="22"/>
        </w:rPr>
        <w:fldChar w:fldCharType="end"/>
      </w:r>
      <w:r>
        <w:rPr>
          <w:sz w:val="22"/>
          <w:szCs w:val="22"/>
        </w:rPr>
        <w:t>).</w:t>
      </w:r>
    </w:p>
    <w:p>
      <w:pPr>
        <w:pStyle w:val="Nivel3"/>
        <w:numPr>
          <w:ilvl w:val="0"/>
          <w:numId w:val="0"/>
        </w:numPr>
        <w:spacing w:lineRule="auto" w:line="360" w:before="0" w:after="0"/>
        <w:ind w:left="0" w:hanging="0"/>
        <w:rPr>
          <w:rFonts w:ascii="Arial" w:hAnsi="Arial"/>
          <w:sz w:val="22"/>
          <w:szCs w:val="22"/>
        </w:rPr>
      </w:pPr>
      <w:r>
        <w:rPr>
          <w:sz w:val="22"/>
          <w:szCs w:val="22"/>
        </w:rPr>
      </w:r>
    </w:p>
    <w:p>
      <w:pPr>
        <w:pStyle w:val="Nivel3"/>
        <w:numPr>
          <w:ilvl w:val="0"/>
          <w:numId w:val="0"/>
        </w:numPr>
        <w:spacing w:lineRule="auto" w:line="360" w:before="0" w:after="0"/>
        <w:ind w:left="0" w:hanging="0"/>
        <w:rPr/>
      </w:pPr>
      <w:r>
        <w:rPr>
          <w:b/>
          <w:bCs/>
          <w:sz w:val="22"/>
          <w:szCs w:val="22"/>
        </w:rPr>
        <w:t>11.5.</w:t>
      </w:r>
      <w:r>
        <w:rPr>
          <w:sz w:val="22"/>
          <w:szCs w:val="22"/>
        </w:rPr>
        <w:t xml:space="preserve"> A aplicação das sanções realizar-se-á em processo administrativo que assegure o contraditório e a ampla defesa ao Contratado, observando-se o procedimento previsto no </w:t>
      </w:r>
      <w:r>
        <w:rPr>
          <w:b/>
          <w:bCs/>
          <w:sz w:val="22"/>
          <w:szCs w:val="22"/>
        </w:rPr>
        <w:t xml:space="preserve">caput </w:t>
      </w:r>
      <w:r>
        <w:rPr>
          <w:sz w:val="22"/>
          <w:szCs w:val="22"/>
        </w:rPr>
        <w:t xml:space="preserve">e parágrafos do </w:t>
      </w:r>
      <w:r>
        <w:fldChar w:fldCharType="begin"/>
      </w:r>
      <w:r>
        <w:rPr>
          <w:rStyle w:val="LinkdaInternet"/>
          <w:sz w:val="22"/>
          <w:szCs w:val="22"/>
        </w:rPr>
        <w:instrText xml:space="preserve"> HYPERLINK "http://www.planalto.gov.br/ccivil_03/_ato2019-2022/2021/lei/L14133.htm" \l "art158"</w:instrText>
      </w:r>
      <w:r>
        <w:rPr>
          <w:rStyle w:val="LinkdaInternet"/>
          <w:sz w:val="22"/>
          <w:szCs w:val="22"/>
        </w:rPr>
        <w:fldChar w:fldCharType="separate"/>
      </w:r>
      <w:r>
        <w:rPr>
          <w:rStyle w:val="LinkdaInternet"/>
          <w:sz w:val="22"/>
          <w:szCs w:val="22"/>
        </w:rPr>
        <w:t>art. 158 da Lei nº 14.133, de 2021</w:t>
      </w:r>
      <w:r>
        <w:rPr>
          <w:rStyle w:val="LinkdaInternet"/>
          <w:sz w:val="22"/>
          <w:szCs w:val="22"/>
        </w:rPr>
        <w:fldChar w:fldCharType="end"/>
      </w:r>
      <w:r>
        <w:rPr>
          <w:sz w:val="22"/>
          <w:szCs w:val="22"/>
        </w:rPr>
        <w:t>, para as penalidades de impedimento de licitar e contratar e de declaração de inidoneidade para licitar ou contratar.</w:t>
      </w:r>
    </w:p>
    <w:p>
      <w:pPr>
        <w:pStyle w:val="Nivel2"/>
        <w:numPr>
          <w:ilvl w:val="0"/>
          <w:numId w:val="0"/>
        </w:numPr>
        <w:spacing w:before="0" w:after="0"/>
        <w:ind w:left="0" w:hanging="0"/>
        <w:rPr/>
      </w:pPr>
      <w:r>
        <w:rPr/>
      </w:r>
    </w:p>
    <w:p>
      <w:pPr>
        <w:pStyle w:val="Nivel2"/>
        <w:numPr>
          <w:ilvl w:val="0"/>
          <w:numId w:val="0"/>
        </w:numPr>
        <w:spacing w:lineRule="auto" w:line="360"/>
        <w:ind w:left="0" w:hanging="0"/>
        <w:rPr/>
      </w:pPr>
      <w:r>
        <w:rPr>
          <w:b/>
          <w:bCs/>
          <w:sz w:val="22"/>
          <w:szCs w:val="22"/>
        </w:rPr>
        <w:t>11.6.</w:t>
      </w:r>
      <w:r>
        <w:rPr>
          <w:sz w:val="22"/>
          <w:szCs w:val="22"/>
        </w:rPr>
        <w:t xml:space="preserve"> Na aplicação das sanções serão considerados (</w:t>
      </w:r>
      <w:r>
        <w:fldChar w:fldCharType="begin"/>
      </w:r>
      <w:r>
        <w:rPr>
          <w:rStyle w:val="LinkdaInternet"/>
          <w:sz w:val="22"/>
          <w:szCs w:val="22"/>
        </w:rPr>
        <w:instrText xml:space="preserve"> HYPERLINK "http://www.planalto.gov.br/ccivil_03/_ato2019-2022/2021/lei/L14133.htm" \l "art156§1"</w:instrText>
      </w:r>
      <w:r>
        <w:rPr>
          <w:rStyle w:val="LinkdaInternet"/>
          <w:sz w:val="22"/>
          <w:szCs w:val="22"/>
        </w:rPr>
        <w:fldChar w:fldCharType="separate"/>
      </w:r>
      <w:r>
        <w:rPr>
          <w:rStyle w:val="LinkdaInternet"/>
          <w:sz w:val="22"/>
          <w:szCs w:val="22"/>
        </w:rPr>
        <w:t>art. 156, §1º, da Lei nº 14.133, de 2021</w:t>
      </w:r>
      <w:r>
        <w:rPr>
          <w:rStyle w:val="LinkdaInternet"/>
          <w:sz w:val="22"/>
          <w:szCs w:val="22"/>
        </w:rPr>
        <w:fldChar w:fldCharType="end"/>
      </w:r>
      <w:r>
        <w:rPr>
          <w:sz w:val="22"/>
          <w:szCs w:val="22"/>
        </w:rPr>
        <w:t>):</w:t>
      </w:r>
    </w:p>
    <w:p>
      <w:pPr>
        <w:pStyle w:val="Normal"/>
        <w:numPr>
          <w:ilvl w:val="0"/>
          <w:numId w:val="3"/>
        </w:numPr>
        <w:suppressAutoHyphens w:val="true"/>
        <w:spacing w:lineRule="auto" w:line="360" w:before="120" w:after="120"/>
        <w:ind w:left="284" w:hanging="0"/>
        <w:contextualSpacing/>
        <w:jc w:val="both"/>
        <w:rPr>
          <w:sz w:val="22"/>
          <w:szCs w:val="22"/>
        </w:rPr>
      </w:pPr>
      <w:r>
        <w:rPr>
          <w:rFonts w:eastAsia="Arial" w:cs="Arial" w:ascii="Arial" w:hAnsi="Arial"/>
          <w:sz w:val="22"/>
          <w:szCs w:val="22"/>
        </w:rPr>
        <w:t>a natureza e a gravidade da infração cometida;</w:t>
      </w:r>
    </w:p>
    <w:p>
      <w:pPr>
        <w:pStyle w:val="Normal"/>
        <w:numPr>
          <w:ilvl w:val="0"/>
          <w:numId w:val="3"/>
        </w:numPr>
        <w:suppressAutoHyphens w:val="true"/>
        <w:spacing w:lineRule="auto" w:line="360" w:before="120" w:after="120"/>
        <w:ind w:left="284" w:hanging="0"/>
        <w:contextualSpacing/>
        <w:jc w:val="both"/>
        <w:rPr>
          <w:sz w:val="22"/>
          <w:szCs w:val="22"/>
        </w:rPr>
      </w:pPr>
      <w:r>
        <w:rPr>
          <w:rFonts w:eastAsia="Arial" w:cs="Arial" w:ascii="Arial" w:hAnsi="Arial"/>
          <w:sz w:val="22"/>
          <w:szCs w:val="22"/>
        </w:rPr>
        <w:t>as peculiaridades do caso concreto;</w:t>
      </w:r>
    </w:p>
    <w:p>
      <w:pPr>
        <w:pStyle w:val="Normal"/>
        <w:numPr>
          <w:ilvl w:val="0"/>
          <w:numId w:val="3"/>
        </w:numPr>
        <w:suppressAutoHyphens w:val="true"/>
        <w:spacing w:lineRule="auto" w:line="360" w:before="120" w:after="120"/>
        <w:ind w:left="284" w:hanging="0"/>
        <w:contextualSpacing/>
        <w:jc w:val="both"/>
        <w:rPr>
          <w:sz w:val="22"/>
          <w:szCs w:val="22"/>
        </w:rPr>
      </w:pPr>
      <w:r>
        <w:rPr>
          <w:rFonts w:eastAsia="Arial" w:cs="Arial" w:ascii="Arial" w:hAnsi="Arial"/>
          <w:sz w:val="22"/>
          <w:szCs w:val="22"/>
        </w:rPr>
        <w:t>as circunstâncias agravantes ou atenuantes;</w:t>
      </w:r>
    </w:p>
    <w:p>
      <w:pPr>
        <w:pStyle w:val="Normal"/>
        <w:numPr>
          <w:ilvl w:val="0"/>
          <w:numId w:val="3"/>
        </w:numPr>
        <w:suppressAutoHyphens w:val="true"/>
        <w:spacing w:lineRule="auto" w:line="360" w:before="120" w:after="120"/>
        <w:ind w:left="284" w:hanging="0"/>
        <w:contextualSpacing/>
        <w:jc w:val="both"/>
        <w:rPr>
          <w:sz w:val="22"/>
          <w:szCs w:val="22"/>
        </w:rPr>
      </w:pPr>
      <w:r>
        <w:rPr>
          <w:rFonts w:eastAsia="Arial" w:cs="Arial" w:ascii="Arial" w:hAnsi="Arial"/>
          <w:sz w:val="22"/>
          <w:szCs w:val="22"/>
        </w:rPr>
        <w:t>os danos que dela provierem para o Contratante;</w:t>
      </w:r>
    </w:p>
    <w:p>
      <w:pPr>
        <w:pStyle w:val="Normal"/>
        <w:numPr>
          <w:ilvl w:val="0"/>
          <w:numId w:val="3"/>
        </w:numPr>
        <w:suppressAutoHyphens w:val="true"/>
        <w:spacing w:lineRule="auto" w:line="360" w:before="120" w:after="120"/>
        <w:ind w:left="284" w:hanging="0"/>
        <w:contextualSpacing/>
        <w:jc w:val="both"/>
        <w:rPr>
          <w:sz w:val="22"/>
          <w:szCs w:val="22"/>
        </w:rPr>
      </w:pPr>
      <w:r>
        <w:rPr>
          <w:rFonts w:eastAsia="Arial" w:cs="Arial" w:ascii="Arial" w:hAnsi="Arial"/>
          <w:sz w:val="22"/>
          <w:szCs w:val="22"/>
        </w:rPr>
        <w:t>a implantação ou o aperfeiçoamento de programa de integridade, conforme normas e orientações dos órgãos de controle.</w:t>
      </w:r>
    </w:p>
    <w:p>
      <w:pPr>
        <w:pStyle w:val="Normal"/>
        <w:numPr>
          <w:ilvl w:val="0"/>
          <w:numId w:val="0"/>
        </w:numPr>
        <w:suppressAutoHyphens w:val="true"/>
        <w:spacing w:lineRule="auto" w:line="360" w:before="120" w:after="120"/>
        <w:ind w:left="284" w:hanging="0"/>
        <w:contextualSpacing/>
        <w:jc w:val="both"/>
        <w:rPr>
          <w:sz w:val="22"/>
          <w:szCs w:val="22"/>
        </w:rPr>
      </w:pPr>
      <w:r>
        <w:rPr>
          <w:sz w:val="22"/>
          <w:szCs w:val="22"/>
        </w:rPr>
      </w:r>
    </w:p>
    <w:p>
      <w:pPr>
        <w:pStyle w:val="Normal"/>
        <w:numPr>
          <w:ilvl w:val="0"/>
          <w:numId w:val="0"/>
        </w:numPr>
        <w:suppressAutoHyphens w:val="true"/>
        <w:spacing w:lineRule="auto" w:line="360" w:before="0" w:after="0"/>
        <w:ind w:left="0" w:hanging="0"/>
        <w:contextualSpacing/>
        <w:jc w:val="both"/>
        <w:rPr/>
      </w:pPr>
      <w:r>
        <w:rPr>
          <w:rFonts w:ascii="Arial" w:hAnsi="Arial"/>
          <w:b/>
          <w:bCs/>
          <w:sz w:val="22"/>
          <w:szCs w:val="22"/>
        </w:rPr>
        <w:t>11.7.</w:t>
      </w:r>
      <w:r>
        <w:rPr>
          <w:rFonts w:ascii="Arial" w:hAnsi="Arial"/>
          <w:sz w:val="22"/>
          <w:szCs w:val="22"/>
        </w:rPr>
        <w:t xml:space="preserve"> Os atos previstos como infrações administrativas na </w:t>
      </w:r>
      <w:hyperlink r:id="rId4">
        <w:r>
          <w:rPr>
            <w:rStyle w:val="LinkdaInternet"/>
            <w:rFonts w:ascii="Arial" w:hAnsi="Arial"/>
            <w:sz w:val="22"/>
            <w:szCs w:val="22"/>
          </w:rPr>
          <w:t>Lei nº 14.133, de 2021</w:t>
        </w:r>
      </w:hyperlink>
      <w:r>
        <w:rPr>
          <w:rFonts w:ascii="Arial" w:hAnsi="Arial"/>
          <w:sz w:val="22"/>
          <w:szCs w:val="22"/>
        </w:rPr>
        <w:t xml:space="preserve">, ou em outras leis de licitações e contratos da Administração Pública que também sejam tipificados como atos lesivos </w:t>
      </w:r>
      <w:hyperlink r:id="rId5">
        <w:r>
          <w:rPr>
            <w:rStyle w:val="LinkdaInternet"/>
            <w:rFonts w:ascii="Arial" w:hAnsi="Arial"/>
            <w:sz w:val="22"/>
            <w:szCs w:val="22"/>
          </w:rPr>
          <w:t>na Lei nº 12.846, de 2013</w:t>
        </w:r>
      </w:hyperlink>
      <w:r>
        <w:rPr>
          <w:rFonts w:ascii="Arial" w:hAnsi="Arial"/>
          <w:sz w:val="22"/>
          <w:szCs w:val="22"/>
        </w:rPr>
        <w:t xml:space="preserve">, serão apurados e julgados conjuntamente, nos mesmos autos, observados o rito procedimental e autoridade competente definidos na referida </w:t>
      </w:r>
      <w:r>
        <w:fldChar w:fldCharType="begin"/>
      </w:r>
      <w:r>
        <w:rPr>
          <w:rStyle w:val="LinkdaInternet"/>
          <w:sz w:val="22"/>
          <w:szCs w:val="22"/>
          <w:rFonts w:ascii="Arial" w:hAnsi="Arial"/>
        </w:rPr>
        <w:instrText xml:space="preserve"> HYPERLINK "http://www.planalto.gov.br/ccivil_03/_ato2019-2022/2021/lei/L14133.htm" \l "art159"</w:instrText>
      </w:r>
      <w:r>
        <w:rPr>
          <w:rStyle w:val="LinkdaInternet"/>
          <w:sz w:val="22"/>
          <w:szCs w:val="22"/>
          <w:rFonts w:ascii="Arial" w:hAnsi="Arial"/>
        </w:rPr>
        <w:fldChar w:fldCharType="separate"/>
      </w:r>
      <w:r>
        <w:rPr>
          <w:rStyle w:val="LinkdaInternet"/>
          <w:rFonts w:ascii="Arial" w:hAnsi="Arial"/>
          <w:sz w:val="22"/>
          <w:szCs w:val="22"/>
        </w:rPr>
        <w:t>Lei (art. 159</w:t>
      </w:r>
      <w:r>
        <w:rPr>
          <w:rStyle w:val="LinkdaInternet"/>
          <w:sz w:val="22"/>
          <w:szCs w:val="22"/>
          <w:rFonts w:ascii="Arial" w:hAnsi="Arial"/>
        </w:rPr>
        <w:fldChar w:fldCharType="end"/>
      </w:r>
      <w:r>
        <w:rPr>
          <w:rFonts w:ascii="Arial" w:hAnsi="Arial"/>
          <w:sz w:val="22"/>
          <w:szCs w:val="22"/>
        </w:rPr>
        <w:t>).</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pPr>
      <w:r>
        <w:rPr>
          <w:b/>
          <w:bCs/>
          <w:sz w:val="22"/>
          <w:szCs w:val="22"/>
        </w:rPr>
        <w:t>11.8.</w:t>
      </w:r>
      <w:r>
        <w:rPr>
          <w:sz w:val="22"/>
          <w:szCs w:val="22"/>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2"/>
          <w:szCs w:val="22"/>
        </w:rPr>
        <w:instrText xml:space="preserve"> HYPERLINK "http://www.planalto.gov.br/ccivil_03/_ato2019-2022/2021/lei/L14133.htm" \l "art160"</w:instrText>
      </w:r>
      <w:r>
        <w:rPr>
          <w:rStyle w:val="LinkdaInternet"/>
          <w:sz w:val="22"/>
          <w:szCs w:val="22"/>
        </w:rPr>
        <w:fldChar w:fldCharType="separate"/>
      </w:r>
      <w:r>
        <w:rPr>
          <w:rStyle w:val="LinkdaInternet"/>
          <w:sz w:val="22"/>
          <w:szCs w:val="22"/>
        </w:rPr>
        <w:t>art. 160, da Lei nº 14.133, de 2021</w:t>
      </w:r>
      <w:r>
        <w:rPr>
          <w:rStyle w:val="LinkdaInternet"/>
          <w:sz w:val="22"/>
          <w:szCs w:val="22"/>
        </w:rPr>
        <w:fldChar w:fldCharType="end"/>
      </w:r>
      <w:r>
        <w:rPr>
          <w:sz w:val="22"/>
          <w:szCs w:val="22"/>
        </w:rPr>
        <w:t>)</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pPr>
      <w:r>
        <w:rPr>
          <w:b/>
          <w:bCs/>
          <w:sz w:val="22"/>
          <w:szCs w:val="22"/>
        </w:rPr>
        <w:t>11.9.</w:t>
      </w:r>
      <w:r>
        <w:rPr>
          <w:sz w:val="22"/>
          <w:szCs w:val="22"/>
        </w:rPr>
        <w:t xml:space="preserve"> O Contratante deverá, no prazo máximo de 15 (quinze) dias úteis, contado da data de aplicação da sanção, informar e manter atualizados os dados relativos às sanções por ela aplicadas, para fins de publicidade no </w:t>
      </w:r>
      <w:hyperlink r:id="rId6">
        <w:r>
          <w:rPr>
            <w:rStyle w:val="LinkdaInternet"/>
            <w:sz w:val="22"/>
            <w:szCs w:val="22"/>
          </w:rPr>
          <w:t>Cadastro Nacional de Empresas Inidôneas e Suspensas (Ceis)</w:t>
        </w:r>
      </w:hyperlink>
      <w:r>
        <w:rPr>
          <w:sz w:val="22"/>
          <w:szCs w:val="22"/>
        </w:rPr>
        <w:t xml:space="preserve"> e no Cadastro Nacional de Empresas Punidas (Cnep), instituídos no âmbito do Poder Executivo Federal. (</w:t>
      </w:r>
      <w:r>
        <w:fldChar w:fldCharType="begin"/>
      </w:r>
      <w:r>
        <w:rPr>
          <w:rStyle w:val="LinkdaInternet"/>
          <w:sz w:val="22"/>
          <w:szCs w:val="22"/>
        </w:rPr>
        <w:instrText xml:space="preserve"> HYPERLINK "http://www.planalto.gov.br/ccivil_03/_ato2019-2022/2021/lei/L14133.htm" \l "art161"</w:instrText>
      </w:r>
      <w:r>
        <w:rPr>
          <w:rStyle w:val="LinkdaInternet"/>
          <w:sz w:val="22"/>
          <w:szCs w:val="22"/>
        </w:rPr>
        <w:fldChar w:fldCharType="separate"/>
      </w:r>
      <w:r>
        <w:rPr>
          <w:rStyle w:val="LinkdaInternet"/>
          <w:sz w:val="22"/>
          <w:szCs w:val="22"/>
        </w:rPr>
        <w:t>Art. 161, da Lei nº 14.133, de 2021</w:t>
      </w:r>
      <w:r>
        <w:rPr>
          <w:rStyle w:val="LinkdaInternet"/>
          <w:sz w:val="22"/>
          <w:szCs w:val="22"/>
        </w:rPr>
        <w:fldChar w:fldCharType="end"/>
      </w:r>
      <w:r>
        <w:rPr>
          <w:sz w:val="22"/>
          <w:szCs w:val="22"/>
        </w:rPr>
        <w:t>)</w:t>
      </w:r>
    </w:p>
    <w:p>
      <w:pPr>
        <w:pStyle w:val="Nivel2"/>
        <w:numPr>
          <w:ilvl w:val="0"/>
          <w:numId w:val="0"/>
        </w:numPr>
        <w:spacing w:lineRule="auto" w:line="360" w:before="0" w:after="0"/>
        <w:ind w:left="0" w:hanging="0"/>
        <w:rPr>
          <w:b/>
          <w:b/>
          <w:bCs/>
          <w:sz w:val="22"/>
          <w:szCs w:val="22"/>
        </w:rPr>
      </w:pPr>
      <w:r>
        <w:rPr>
          <w:b/>
          <w:bCs/>
          <w:sz w:val="22"/>
          <w:szCs w:val="22"/>
        </w:rPr>
      </w:r>
    </w:p>
    <w:p>
      <w:pPr>
        <w:pStyle w:val="Nivel2"/>
        <w:numPr>
          <w:ilvl w:val="0"/>
          <w:numId w:val="0"/>
        </w:numPr>
        <w:spacing w:lineRule="auto" w:line="360" w:before="0" w:after="0"/>
        <w:ind w:left="0" w:hanging="0"/>
        <w:rPr/>
      </w:pPr>
      <w:r>
        <w:rPr>
          <w:b/>
          <w:bCs/>
          <w:sz w:val="22"/>
          <w:szCs w:val="22"/>
        </w:rPr>
        <w:t>11.10.</w:t>
      </w:r>
      <w:r>
        <w:rPr>
          <w:sz w:val="22"/>
          <w:szCs w:val="22"/>
        </w:rPr>
        <w:t xml:space="preserve"> As sanções de impedimento de licitar e contratar e declaração de inidoneidade para licitar ou contratar são passíveis de reabilitação na forma do </w:t>
      </w:r>
      <w:r>
        <w:fldChar w:fldCharType="begin"/>
      </w:r>
      <w:r>
        <w:rPr>
          <w:rStyle w:val="LinkdaInternet"/>
          <w:sz w:val="22"/>
          <w:szCs w:val="22"/>
        </w:rPr>
        <w:instrText xml:space="preserve"> HYPERLINK "http://www.planalto.gov.br/ccivil_03/_ato2019-2022/2021/lei/L14133.htm" \l "art163"</w:instrText>
      </w:r>
      <w:r>
        <w:rPr>
          <w:rStyle w:val="LinkdaInternet"/>
          <w:sz w:val="22"/>
          <w:szCs w:val="22"/>
        </w:rPr>
        <w:fldChar w:fldCharType="separate"/>
      </w:r>
      <w:r>
        <w:rPr>
          <w:rStyle w:val="LinkdaInternet"/>
          <w:sz w:val="22"/>
          <w:szCs w:val="22"/>
        </w:rPr>
        <w:t>art. 163 da Lei nº 14.133/21.</w:t>
      </w:r>
      <w:r>
        <w:rPr>
          <w:rStyle w:val="LinkdaInternet"/>
          <w:sz w:val="22"/>
          <w:szCs w:val="22"/>
        </w:rPr>
        <w:fldChar w:fldCharType="end"/>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6" w:after="6"/>
        <w:ind w:left="0" w:hanging="0"/>
        <w:rPr/>
      </w:pPr>
      <w:r>
        <w:rPr>
          <w:b/>
          <w:bCs/>
          <w:sz w:val="22"/>
          <w:szCs w:val="22"/>
        </w:rPr>
        <w:t xml:space="preserve">11.11. </w:t>
      </w:r>
      <w:r>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
        <w:r>
          <w:rPr>
            <w:rStyle w:val="LinkdaInternet"/>
            <w:sz w:val="22"/>
            <w:szCs w:val="22"/>
          </w:rPr>
          <w:t>Instrução Normativa SEGES/ME nº 26, de 13 de abril de 2022</w:t>
        </w:r>
      </w:hyperlink>
      <w:r>
        <w:rPr>
          <w:sz w:val="22"/>
          <w:szCs w:val="22"/>
        </w:rPr>
        <w:t>.</w:t>
      </w:r>
    </w:p>
    <w:p>
      <w:pPr>
        <w:pStyle w:val="Nivel01"/>
        <w:numPr>
          <w:ilvl w:val="0"/>
          <w:numId w:val="0"/>
        </w:numPr>
        <w:spacing w:lineRule="auto" w:line="360" w:before="0" w:after="0"/>
        <w:ind w:left="0" w:hanging="0"/>
        <w:rPr>
          <w:sz w:val="22"/>
          <w:szCs w:val="22"/>
        </w:rPr>
      </w:pPr>
      <w:r>
        <w:rPr>
          <w:sz w:val="22"/>
          <w:szCs w:val="22"/>
        </w:rPr>
      </w:r>
    </w:p>
    <w:p>
      <w:pPr>
        <w:pStyle w:val="Nivel01"/>
        <w:numPr>
          <w:ilvl w:val="0"/>
          <w:numId w:val="0"/>
        </w:numPr>
        <w:spacing w:lineRule="auto" w:line="360" w:before="0" w:after="0"/>
        <w:ind w:left="0" w:hanging="0"/>
        <w:rPr>
          <w:sz w:val="22"/>
          <w:szCs w:val="22"/>
        </w:rPr>
      </w:pPr>
      <w:r>
        <w:rPr>
          <w:sz w:val="22"/>
          <w:szCs w:val="22"/>
        </w:rPr>
        <w:t xml:space="preserve">CLÁUSULA DÉCIMA SEGUNDA – DA EXTINÇÃO CONTRATUAL </w:t>
      </w:r>
    </w:p>
    <w:p>
      <w:pPr>
        <w:pStyle w:val="Nvel2Red"/>
        <w:numPr>
          <w:ilvl w:val="0"/>
          <w:numId w:val="0"/>
        </w:numPr>
        <w:spacing w:lineRule="auto" w:line="360" w:before="0" w:after="0"/>
        <w:ind w:left="0" w:hanging="0"/>
        <w:rPr>
          <w:i w:val="false"/>
          <w:i w:val="false"/>
          <w:iCs w:val="false"/>
          <w:color w:val="000000"/>
        </w:rPr>
      </w:pPr>
      <w:r>
        <w:rPr>
          <w:i w:val="false"/>
          <w:iCs w:val="false"/>
          <w:color w:val="000000"/>
        </w:rPr>
      </w:r>
    </w:p>
    <w:p>
      <w:pPr>
        <w:pStyle w:val="Nvel2Red"/>
        <w:numPr>
          <w:ilvl w:val="0"/>
          <w:numId w:val="0"/>
        </w:numPr>
        <w:spacing w:lineRule="auto" w:line="360" w:before="0" w:after="0"/>
        <w:ind w:left="0" w:hanging="0"/>
        <w:rPr>
          <w:sz w:val="22"/>
          <w:szCs w:val="22"/>
        </w:rPr>
      </w:pPr>
      <w:r>
        <w:rPr>
          <w:b/>
          <w:bCs/>
          <w:i w:val="false"/>
          <w:iCs w:val="false"/>
          <w:color w:val="000000"/>
          <w:sz w:val="22"/>
          <w:szCs w:val="22"/>
        </w:rPr>
        <w:t>12.1.</w:t>
      </w:r>
      <w:r>
        <w:rPr>
          <w:i w:val="false"/>
          <w:iCs w:val="false"/>
          <w:color w:val="000000"/>
          <w:sz w:val="22"/>
          <w:szCs w:val="22"/>
        </w:rPr>
        <w:t xml:space="preserve"> O contrato </w:t>
      </w:r>
      <w:r>
        <w:rPr>
          <w:i w:val="false"/>
          <w:iCs w:val="false"/>
          <w:color w:val="000000"/>
          <w:sz w:val="22"/>
          <w:szCs w:val="22"/>
          <w:shd w:fill="auto" w:val="clear"/>
        </w:rPr>
        <w:t xml:space="preserve">será extinto </w:t>
      </w:r>
      <w:r>
        <w:rPr>
          <w:i w:val="false"/>
          <w:iCs w:val="false"/>
          <w:color w:val="000000"/>
          <w:sz w:val="22"/>
          <w:szCs w:val="22"/>
        </w:rPr>
        <w:t>quando cumpridas as obrigações de ambas as partes, ainda que isso ocorra antes do prazo estipulado para tanto.</w:t>
      </w:r>
    </w:p>
    <w:p>
      <w:pPr>
        <w:pStyle w:val="Nvel2Red"/>
        <w:numPr>
          <w:ilvl w:val="0"/>
          <w:numId w:val="0"/>
        </w:numPr>
        <w:spacing w:lineRule="auto" w:line="360" w:before="0" w:after="0"/>
        <w:ind w:left="0" w:hanging="0"/>
        <w:rPr>
          <w:i w:val="false"/>
          <w:i w:val="false"/>
          <w:iCs w:val="false"/>
          <w:color w:val="000000"/>
        </w:rPr>
      </w:pPr>
      <w:r>
        <w:rPr>
          <w:i w:val="false"/>
          <w:iCs w:val="false"/>
          <w:color w:val="000000"/>
        </w:rPr>
      </w:r>
    </w:p>
    <w:p>
      <w:pPr>
        <w:pStyle w:val="Nvel2Red"/>
        <w:numPr>
          <w:ilvl w:val="0"/>
          <w:numId w:val="0"/>
        </w:numPr>
        <w:spacing w:lineRule="auto" w:line="360" w:before="0" w:after="0"/>
        <w:ind w:left="0" w:hanging="0"/>
        <w:rPr>
          <w:sz w:val="22"/>
          <w:szCs w:val="22"/>
        </w:rPr>
      </w:pPr>
      <w:r>
        <w:rPr>
          <w:b/>
          <w:bCs/>
          <w:i w:val="false"/>
          <w:iCs w:val="false"/>
          <w:color w:val="000000"/>
          <w:sz w:val="22"/>
          <w:szCs w:val="22"/>
        </w:rPr>
        <w:t>12.2.</w:t>
      </w:r>
      <w:r>
        <w:rPr>
          <w:i w:val="false"/>
          <w:iCs w:val="false"/>
          <w:color w:val="000000"/>
          <w:sz w:val="22"/>
          <w:szCs w:val="22"/>
        </w:rPr>
        <w:t xml:space="preserve"> Se as obrigações não forem cumpridas no prazo estipulado, a vigência ficará prorrogada até a conclusão do objeto, caso em que deverá a Administração providenciar a readequação do cronograma fixado para o contrato.</w:t>
      </w:r>
    </w:p>
    <w:p>
      <w:pPr>
        <w:pStyle w:val="Nvel2Red"/>
        <w:numPr>
          <w:ilvl w:val="0"/>
          <w:numId w:val="0"/>
        </w:numPr>
        <w:spacing w:lineRule="auto" w:line="360" w:before="0" w:after="0"/>
        <w:ind w:left="0" w:hanging="0"/>
        <w:rPr>
          <w:b/>
          <w:b/>
          <w:bCs/>
          <w:i w:val="false"/>
          <w:i w:val="false"/>
          <w:iCs w:val="false"/>
          <w:color w:val="000000"/>
        </w:rPr>
      </w:pPr>
      <w:r>
        <w:rPr>
          <w:b/>
          <w:bCs/>
          <w:i w:val="false"/>
          <w:iCs w:val="false"/>
          <w:color w:val="000000"/>
        </w:rPr>
      </w:r>
    </w:p>
    <w:p>
      <w:pPr>
        <w:pStyle w:val="Nvel2Red"/>
        <w:numPr>
          <w:ilvl w:val="0"/>
          <w:numId w:val="0"/>
        </w:numPr>
        <w:spacing w:lineRule="auto" w:line="360" w:before="0" w:after="0"/>
        <w:ind w:left="0" w:hanging="0"/>
        <w:rPr>
          <w:sz w:val="22"/>
          <w:szCs w:val="22"/>
        </w:rPr>
      </w:pPr>
      <w:r>
        <w:rPr>
          <w:b/>
          <w:bCs/>
          <w:i w:val="false"/>
          <w:iCs w:val="false"/>
          <w:color w:val="000000"/>
          <w:sz w:val="22"/>
          <w:szCs w:val="22"/>
        </w:rPr>
        <w:t>12.3.</w:t>
      </w:r>
      <w:r>
        <w:rPr>
          <w:i w:val="false"/>
          <w:iCs w:val="false"/>
          <w:color w:val="000000"/>
          <w:sz w:val="22"/>
          <w:szCs w:val="22"/>
        </w:rPr>
        <w:t xml:space="preserve"> Quando a não conclusão do contrato referida no item anterior decorrer de culpa do contratado:</w:t>
      </w:r>
    </w:p>
    <w:p>
      <w:pPr>
        <w:pStyle w:val="Nvel2Red"/>
        <w:numPr>
          <w:ilvl w:val="0"/>
          <w:numId w:val="0"/>
        </w:numPr>
        <w:spacing w:lineRule="auto" w:line="360" w:before="0" w:after="0"/>
        <w:ind w:left="0" w:hanging="0"/>
        <w:rPr>
          <w:sz w:val="22"/>
          <w:szCs w:val="22"/>
        </w:rPr>
      </w:pPr>
      <w:r>
        <w:rPr>
          <w:sz w:val="22"/>
          <w:szCs w:val="22"/>
        </w:rPr>
      </w:r>
    </w:p>
    <w:p>
      <w:pPr>
        <w:pStyle w:val="Nvel2Red"/>
        <w:numPr>
          <w:ilvl w:val="0"/>
          <w:numId w:val="0"/>
        </w:numPr>
        <w:spacing w:lineRule="auto" w:line="360" w:before="0" w:after="0"/>
        <w:ind w:left="0" w:hanging="0"/>
        <w:rPr>
          <w:sz w:val="22"/>
          <w:szCs w:val="22"/>
        </w:rPr>
      </w:pPr>
      <w:r>
        <w:rPr>
          <w:sz w:val="22"/>
          <w:szCs w:val="22"/>
        </w:rPr>
      </w:r>
    </w:p>
    <w:p>
      <w:pPr>
        <w:pStyle w:val="ListParagraph"/>
        <w:numPr>
          <w:ilvl w:val="0"/>
          <w:numId w:val="4"/>
        </w:numPr>
        <w:suppressAutoHyphens w:val="true"/>
        <w:spacing w:lineRule="auto" w:line="360" w:before="120" w:after="120"/>
        <w:ind w:left="284" w:hanging="0"/>
        <w:contextualSpacing/>
        <w:jc w:val="both"/>
        <w:rPr>
          <w:sz w:val="22"/>
          <w:szCs w:val="22"/>
        </w:rPr>
      </w:pPr>
      <w:r>
        <w:rPr>
          <w:rFonts w:eastAsia="Arial" w:cs="Arial" w:ascii="Arial" w:hAnsi="Arial"/>
          <w:i w:val="false"/>
          <w:iCs w:val="false"/>
          <w:color w:val="000000"/>
          <w:sz w:val="22"/>
          <w:szCs w:val="22"/>
        </w:rPr>
        <w:t>ficará ele constituído em mora, sendo-lhe aplicáveis as respectivas sanções administrativas; e</w:t>
      </w:r>
    </w:p>
    <w:p>
      <w:pPr>
        <w:pStyle w:val="ListParagraph"/>
        <w:numPr>
          <w:ilvl w:val="0"/>
          <w:numId w:val="4"/>
        </w:numPr>
        <w:suppressAutoHyphens w:val="true"/>
        <w:spacing w:lineRule="auto" w:line="360" w:before="0" w:after="0"/>
        <w:ind w:left="284" w:hanging="0"/>
        <w:contextualSpacing/>
        <w:jc w:val="both"/>
        <w:rPr>
          <w:sz w:val="22"/>
          <w:szCs w:val="22"/>
        </w:rPr>
      </w:pPr>
      <w:r>
        <w:rPr>
          <w:rFonts w:eastAsia="Arial" w:cs="Arial" w:ascii="Arial" w:hAnsi="Arial"/>
          <w:i w:val="false"/>
          <w:iCs w:val="false"/>
          <w:color w:val="000000"/>
          <w:sz w:val="22"/>
          <w:szCs w:val="22"/>
        </w:rPr>
        <w:t>poderá a Administração optar pela extinção do contrato e, nesse caso, adotará as medidas admitidas em lei para a continuidade da execução contratual.</w:t>
      </w:r>
    </w:p>
    <w:p>
      <w:pPr>
        <w:pStyle w:val="Nivel2"/>
        <w:numPr>
          <w:ilvl w:val="0"/>
          <w:numId w:val="0"/>
        </w:numPr>
        <w:spacing w:lineRule="auto" w:line="360" w:before="0" w:after="0"/>
        <w:ind w:left="0" w:hanging="0"/>
        <w:rPr>
          <w:b/>
          <w:b/>
          <w:bCs/>
          <w:sz w:val="22"/>
          <w:szCs w:val="22"/>
        </w:rPr>
      </w:pPr>
      <w:r>
        <w:rPr>
          <w:b/>
          <w:bCs/>
          <w:sz w:val="22"/>
          <w:szCs w:val="22"/>
        </w:rPr>
      </w:r>
    </w:p>
    <w:p>
      <w:pPr>
        <w:pStyle w:val="Nivel2"/>
        <w:numPr>
          <w:ilvl w:val="0"/>
          <w:numId w:val="0"/>
        </w:numPr>
        <w:spacing w:lineRule="auto" w:line="360" w:before="0" w:after="0"/>
        <w:ind w:left="0" w:hanging="0"/>
        <w:rPr/>
      </w:pPr>
      <w:r>
        <w:rPr>
          <w:b/>
          <w:bCs/>
          <w:sz w:val="22"/>
          <w:szCs w:val="22"/>
        </w:rPr>
        <w:t xml:space="preserve">12.4. </w:t>
      </w:r>
      <w:r>
        <w:rPr>
          <w:sz w:val="22"/>
          <w:szCs w:val="22"/>
        </w:rPr>
        <w:t xml:space="preserve">O contrato </w:t>
      </w:r>
      <w:r>
        <w:rPr>
          <w:sz w:val="22"/>
          <w:szCs w:val="22"/>
          <w:shd w:fill="auto" w:val="clear"/>
        </w:rPr>
        <w:t>poderá s</w:t>
      </w:r>
      <w:r>
        <w:rPr>
          <w:sz w:val="22"/>
          <w:szCs w:val="22"/>
        </w:rPr>
        <w:t xml:space="preserve">er extinto antes de cumpridas as obrigações nele estipuladas, ou antes do prazo nele fixado, por algum dos motivos previstos no </w:t>
      </w:r>
      <w:r>
        <w:fldChar w:fldCharType="begin"/>
      </w:r>
      <w:r>
        <w:rPr>
          <w:rStyle w:val="LinkdaInternet"/>
          <w:sz w:val="22"/>
          <w:szCs w:val="22"/>
        </w:rPr>
        <w:instrText xml:space="preserve"> HYPERLINK "http://www.planalto.gov.br/ccivil_03/_ato2019-2022/2021/lei/L14133.htm" \l "art137"</w:instrText>
      </w:r>
      <w:r>
        <w:rPr>
          <w:rStyle w:val="LinkdaInternet"/>
          <w:sz w:val="22"/>
          <w:szCs w:val="22"/>
        </w:rPr>
        <w:fldChar w:fldCharType="separate"/>
      </w:r>
      <w:r>
        <w:rPr>
          <w:rStyle w:val="LinkdaInternet"/>
          <w:sz w:val="22"/>
          <w:szCs w:val="22"/>
        </w:rPr>
        <w:t>artigo 137 da Lei nº 14.133/21</w:t>
      </w:r>
      <w:r>
        <w:rPr>
          <w:rStyle w:val="LinkdaInternet"/>
          <w:sz w:val="22"/>
          <w:szCs w:val="22"/>
        </w:rPr>
        <w:fldChar w:fldCharType="end"/>
      </w:r>
      <w:r>
        <w:rPr>
          <w:sz w:val="22"/>
          <w:szCs w:val="22"/>
        </w:rPr>
        <w:t xml:space="preserve">, bem como amigavelmente, </w:t>
      </w:r>
      <w:r>
        <w:rPr>
          <w:color w:val="000000" w:themeColor="text1"/>
          <w:sz w:val="22"/>
          <w:szCs w:val="22"/>
        </w:rPr>
        <w:t>assegurados o contraditório e a ampla defesa</w:t>
      </w:r>
      <w:r>
        <w:rPr>
          <w:sz w:val="22"/>
          <w:szCs w:val="22"/>
        </w:rPr>
        <w:t>.</w:t>
      </w:r>
    </w:p>
    <w:p>
      <w:pPr>
        <w:pStyle w:val="Nivel3"/>
        <w:numPr>
          <w:ilvl w:val="0"/>
          <w:numId w:val="0"/>
        </w:numPr>
        <w:spacing w:lineRule="auto" w:line="360" w:before="0" w:after="0"/>
        <w:ind w:left="0" w:hanging="0"/>
        <w:rPr>
          <w:sz w:val="22"/>
          <w:szCs w:val="22"/>
        </w:rPr>
      </w:pPr>
      <w:r>
        <w:rPr>
          <w:sz w:val="22"/>
          <w:szCs w:val="22"/>
        </w:rPr>
      </w:r>
    </w:p>
    <w:p>
      <w:pPr>
        <w:pStyle w:val="Nivel3"/>
        <w:numPr>
          <w:ilvl w:val="0"/>
          <w:numId w:val="0"/>
        </w:numPr>
        <w:spacing w:lineRule="auto" w:line="360" w:before="0" w:after="0"/>
        <w:ind w:left="0" w:hanging="0"/>
        <w:rPr/>
      </w:pPr>
      <w:r>
        <w:rPr>
          <w:b/>
          <w:bCs/>
          <w:sz w:val="22"/>
          <w:szCs w:val="22"/>
        </w:rPr>
        <w:t>12.4.1.</w:t>
      </w:r>
      <w:r>
        <w:rPr>
          <w:sz w:val="22"/>
          <w:szCs w:val="22"/>
        </w:rPr>
        <w:t xml:space="preserve"> Nesta hipótese, aplicam-se também os </w:t>
      </w:r>
      <w:r>
        <w:fldChar w:fldCharType="begin"/>
      </w:r>
      <w:r>
        <w:rPr>
          <w:rStyle w:val="LinkdaInternet"/>
          <w:sz w:val="22"/>
          <w:szCs w:val="22"/>
        </w:rPr>
        <w:instrText xml:space="preserve"> HYPERLINK "http://www.planalto.gov.br/ccivil_03/_ato2019-2022/2021/lei/L14133.htm" \l "art138"</w:instrText>
      </w:r>
      <w:r>
        <w:rPr>
          <w:rStyle w:val="LinkdaInternet"/>
          <w:sz w:val="22"/>
          <w:szCs w:val="22"/>
        </w:rPr>
        <w:fldChar w:fldCharType="separate"/>
      </w:r>
      <w:r>
        <w:rPr>
          <w:rStyle w:val="LinkdaInternet"/>
          <w:sz w:val="22"/>
          <w:szCs w:val="22"/>
        </w:rPr>
        <w:t>artigos 138 e 139</w:t>
      </w:r>
      <w:r>
        <w:rPr>
          <w:rStyle w:val="LinkdaInternet"/>
          <w:sz w:val="22"/>
          <w:szCs w:val="22"/>
        </w:rPr>
        <w:fldChar w:fldCharType="end"/>
      </w:r>
      <w:r>
        <w:rPr>
          <w:sz w:val="22"/>
          <w:szCs w:val="22"/>
        </w:rPr>
        <w:t xml:space="preserve"> da mesma Lei.</w:t>
      </w:r>
    </w:p>
    <w:p>
      <w:pPr>
        <w:pStyle w:val="Nivel3"/>
        <w:numPr>
          <w:ilvl w:val="0"/>
          <w:numId w:val="0"/>
        </w:numPr>
        <w:spacing w:lineRule="auto" w:line="360" w:before="0" w:after="0"/>
        <w:ind w:left="0" w:hanging="0"/>
        <w:rPr>
          <w:sz w:val="22"/>
          <w:szCs w:val="22"/>
        </w:rPr>
      </w:pPr>
      <w:r>
        <w:rPr>
          <w:sz w:val="22"/>
          <w:szCs w:val="22"/>
        </w:rPr>
      </w:r>
    </w:p>
    <w:p>
      <w:pPr>
        <w:pStyle w:val="Nivel3"/>
        <w:numPr>
          <w:ilvl w:val="0"/>
          <w:numId w:val="0"/>
        </w:numPr>
        <w:spacing w:lineRule="auto" w:line="360" w:before="0" w:after="0"/>
        <w:ind w:left="0" w:hanging="0"/>
        <w:rPr>
          <w:sz w:val="22"/>
          <w:szCs w:val="22"/>
        </w:rPr>
      </w:pPr>
      <w:r>
        <w:rPr>
          <w:b/>
          <w:bCs/>
          <w:sz w:val="22"/>
          <w:szCs w:val="22"/>
        </w:rPr>
        <w:t>12.4.2.</w:t>
      </w:r>
      <w:r>
        <w:rPr>
          <w:sz w:val="22"/>
          <w:szCs w:val="22"/>
        </w:rPr>
        <w:t xml:space="preserve"> A alteração social ou a modificação da finalidade ou da estrutura da empresa não ensejará a </w:t>
      </w:r>
      <w:r>
        <w:rPr>
          <w:sz w:val="22"/>
          <w:szCs w:val="22"/>
          <w:shd w:fill="auto" w:val="clear"/>
        </w:rPr>
        <w:t>extinção s</w:t>
      </w:r>
      <w:r>
        <w:rPr>
          <w:sz w:val="22"/>
          <w:szCs w:val="22"/>
        </w:rPr>
        <w:t>e não restringir sua capacidade de concluir o contrato.</w:t>
      </w:r>
    </w:p>
    <w:p>
      <w:pPr>
        <w:pStyle w:val="Nivel4"/>
        <w:numPr>
          <w:ilvl w:val="0"/>
          <w:numId w:val="0"/>
        </w:numPr>
        <w:spacing w:lineRule="auto" w:line="360" w:before="0" w:after="0"/>
        <w:ind w:left="0" w:hanging="0"/>
        <w:rPr>
          <w:b/>
          <w:b/>
          <w:bCs/>
          <w:color w:val="000000" w:themeColor="text1"/>
        </w:rPr>
      </w:pPr>
      <w:r>
        <w:rPr>
          <w:b/>
          <w:bCs/>
          <w:color w:val="000000" w:themeColor="text1"/>
        </w:rPr>
      </w:r>
    </w:p>
    <w:p>
      <w:pPr>
        <w:pStyle w:val="Nivel4"/>
        <w:numPr>
          <w:ilvl w:val="0"/>
          <w:numId w:val="0"/>
        </w:numPr>
        <w:spacing w:lineRule="auto" w:line="360" w:before="0" w:after="0"/>
        <w:ind w:left="0" w:hanging="0"/>
        <w:rPr>
          <w:sz w:val="22"/>
          <w:szCs w:val="22"/>
        </w:rPr>
      </w:pPr>
      <w:r>
        <w:rPr>
          <w:b/>
          <w:bCs/>
          <w:color w:val="000000" w:themeColor="text1"/>
          <w:sz w:val="22"/>
          <w:szCs w:val="22"/>
        </w:rPr>
        <w:t xml:space="preserve">12.4.3. </w:t>
      </w:r>
      <w:r>
        <w:rPr>
          <w:color w:val="000000" w:themeColor="text1"/>
          <w:sz w:val="22"/>
          <w:szCs w:val="22"/>
        </w:rPr>
        <w:t xml:space="preserve">Se a operação </w:t>
      </w:r>
      <w:r>
        <w:rPr>
          <w:sz w:val="22"/>
          <w:szCs w:val="22"/>
        </w:rPr>
        <w:t>implicar mudança da pessoa jurídica contratada, deverá ser formalizado termo aditivo para alteração subjetiva.</w:t>
      </w:r>
    </w:p>
    <w:p>
      <w:pPr>
        <w:pStyle w:val="Nivel4"/>
        <w:numPr>
          <w:ilvl w:val="0"/>
          <w:numId w:val="0"/>
        </w:numPr>
        <w:spacing w:lineRule="auto" w:line="360" w:before="0" w:after="0"/>
        <w:ind w:left="0" w:hanging="0"/>
        <w:rPr>
          <w:sz w:val="22"/>
          <w:szCs w:val="22"/>
        </w:rPr>
      </w:pPr>
      <w:r>
        <w:rPr>
          <w:sz w:val="22"/>
          <w:szCs w:val="22"/>
        </w:rPr>
      </w:r>
    </w:p>
    <w:p>
      <w:pPr>
        <w:pStyle w:val="Nivel4"/>
        <w:numPr>
          <w:ilvl w:val="0"/>
          <w:numId w:val="0"/>
        </w:numPr>
        <w:spacing w:lineRule="auto" w:line="360" w:before="0" w:after="0"/>
        <w:ind w:left="0" w:hanging="0"/>
        <w:rPr>
          <w:sz w:val="22"/>
          <w:szCs w:val="22"/>
        </w:rPr>
      </w:pPr>
      <w:r>
        <w:rPr>
          <w:b/>
          <w:bCs/>
          <w:sz w:val="22"/>
          <w:szCs w:val="22"/>
        </w:rPr>
        <w:t xml:space="preserve">12.5. </w:t>
      </w:r>
      <w:r>
        <w:rPr>
          <w:sz w:val="22"/>
          <w:szCs w:val="22"/>
        </w:rPr>
        <w:t xml:space="preserve">O termo de </w:t>
      </w:r>
      <w:r>
        <w:rPr>
          <w:sz w:val="22"/>
          <w:szCs w:val="22"/>
          <w:shd w:fill="auto" w:val="clear"/>
        </w:rPr>
        <w:t>extinção, s</w:t>
      </w:r>
      <w:r>
        <w:rPr>
          <w:sz w:val="22"/>
          <w:szCs w:val="22"/>
        </w:rPr>
        <w:t>empre que possível, será precedido:</w:t>
      </w:r>
    </w:p>
    <w:p>
      <w:pPr>
        <w:pStyle w:val="Nivel4"/>
        <w:numPr>
          <w:ilvl w:val="0"/>
          <w:numId w:val="0"/>
        </w:numPr>
        <w:spacing w:lineRule="auto" w:line="360" w:before="0" w:after="0"/>
        <w:ind w:left="0" w:hanging="0"/>
        <w:rPr>
          <w:sz w:val="22"/>
          <w:szCs w:val="22"/>
        </w:rPr>
      </w:pPr>
      <w:r>
        <w:rPr>
          <w:sz w:val="22"/>
          <w:szCs w:val="22"/>
        </w:rPr>
      </w:r>
    </w:p>
    <w:p>
      <w:pPr>
        <w:pStyle w:val="Nivel4"/>
        <w:numPr>
          <w:ilvl w:val="0"/>
          <w:numId w:val="0"/>
        </w:numPr>
        <w:spacing w:lineRule="auto" w:line="360" w:before="0" w:after="0"/>
        <w:ind w:left="0" w:hanging="0"/>
        <w:rPr>
          <w:sz w:val="22"/>
          <w:szCs w:val="22"/>
        </w:rPr>
      </w:pPr>
      <w:r>
        <w:rPr>
          <w:b/>
          <w:bCs/>
          <w:sz w:val="22"/>
          <w:szCs w:val="22"/>
        </w:rPr>
        <w:t>12.5.1.</w:t>
      </w:r>
      <w:r>
        <w:rPr>
          <w:sz w:val="22"/>
          <w:szCs w:val="22"/>
        </w:rPr>
        <w:t xml:space="preserve"> Balanço dos eventos contratuais já cumpridos ou parcialmente cumpridos;</w:t>
      </w:r>
    </w:p>
    <w:p>
      <w:pPr>
        <w:pStyle w:val="Nivel4"/>
        <w:numPr>
          <w:ilvl w:val="0"/>
          <w:numId w:val="0"/>
        </w:numPr>
        <w:spacing w:lineRule="auto" w:line="360" w:before="0" w:after="0"/>
        <w:ind w:left="0" w:hanging="0"/>
        <w:rPr>
          <w:sz w:val="22"/>
          <w:szCs w:val="22"/>
        </w:rPr>
      </w:pPr>
      <w:r>
        <w:rPr>
          <w:sz w:val="22"/>
          <w:szCs w:val="22"/>
        </w:rPr>
      </w:r>
    </w:p>
    <w:p>
      <w:pPr>
        <w:pStyle w:val="Nivel4"/>
        <w:numPr>
          <w:ilvl w:val="0"/>
          <w:numId w:val="0"/>
        </w:numPr>
        <w:spacing w:lineRule="auto" w:line="360" w:before="0" w:after="0"/>
        <w:ind w:left="0" w:hanging="0"/>
        <w:rPr>
          <w:sz w:val="22"/>
          <w:szCs w:val="22"/>
        </w:rPr>
      </w:pPr>
      <w:r>
        <w:rPr>
          <w:b/>
          <w:bCs/>
          <w:sz w:val="22"/>
          <w:szCs w:val="22"/>
        </w:rPr>
        <w:t xml:space="preserve">12.5.2. </w:t>
      </w:r>
      <w:r>
        <w:rPr>
          <w:sz w:val="22"/>
          <w:szCs w:val="22"/>
        </w:rPr>
        <w:t>Relação dos pagamentos já efetuados e ainda devidos;</w:t>
      </w:r>
    </w:p>
    <w:p>
      <w:pPr>
        <w:pStyle w:val="Nivel4"/>
        <w:numPr>
          <w:ilvl w:val="0"/>
          <w:numId w:val="0"/>
        </w:numPr>
        <w:spacing w:lineRule="auto" w:line="360" w:before="0" w:after="0"/>
        <w:ind w:left="0" w:hanging="0"/>
        <w:rPr>
          <w:sz w:val="22"/>
          <w:szCs w:val="22"/>
        </w:rPr>
      </w:pPr>
      <w:r>
        <w:rPr>
          <w:sz w:val="22"/>
          <w:szCs w:val="22"/>
        </w:rPr>
      </w:r>
    </w:p>
    <w:p>
      <w:pPr>
        <w:pStyle w:val="Nivel4"/>
        <w:numPr>
          <w:ilvl w:val="0"/>
          <w:numId w:val="0"/>
        </w:numPr>
        <w:spacing w:lineRule="auto" w:line="360" w:before="0" w:after="0"/>
        <w:ind w:left="0" w:hanging="0"/>
        <w:rPr>
          <w:sz w:val="22"/>
          <w:szCs w:val="22"/>
        </w:rPr>
      </w:pPr>
      <w:r>
        <w:rPr>
          <w:b/>
          <w:bCs/>
          <w:sz w:val="22"/>
          <w:szCs w:val="22"/>
        </w:rPr>
        <w:t>12.5.3.</w:t>
      </w:r>
      <w:r>
        <w:rPr>
          <w:sz w:val="22"/>
          <w:szCs w:val="22"/>
        </w:rPr>
        <w:t xml:space="preserve"> Indenizações e multas.</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12.6.</w:t>
      </w:r>
      <w:r>
        <w:rPr>
          <w:sz w:val="22"/>
          <w:szCs w:val="22"/>
        </w:rPr>
        <w:t xml:space="preserve"> A Extinção do contrato não configura óbice para o reconhecimento do desequilíbrio econômico-financeiro, hipótese em que será concedida indenização por meio de termo indenizatório (</w:t>
      </w:r>
      <w:r>
        <w:fldChar w:fldCharType="begin"/>
      </w:r>
      <w:r>
        <w:rPr>
          <w:rStyle w:val="LinkdaInternet"/>
          <w:sz w:val="22"/>
          <w:szCs w:val="22"/>
        </w:rPr>
        <w:instrText xml:space="preserve"> HYPERLINK "http://www.planalto.gov.br/ccivil_03/_ato2019-2022/2021/lei/L14133.htm" \l "art131"</w:instrText>
      </w:r>
      <w:r>
        <w:rPr>
          <w:rStyle w:val="LinkdaInternet"/>
          <w:sz w:val="22"/>
          <w:szCs w:val="22"/>
        </w:rPr>
        <w:fldChar w:fldCharType="separate"/>
      </w:r>
      <w:r>
        <w:rPr>
          <w:rStyle w:val="LinkdaInternet"/>
          <w:sz w:val="22"/>
          <w:szCs w:val="22"/>
        </w:rPr>
        <w:t xml:space="preserve">art. 131, </w:t>
      </w:r>
      <w:r>
        <w:rPr>
          <w:rStyle w:val="LinkdaInternet"/>
          <w:sz w:val="22"/>
          <w:szCs w:val="22"/>
        </w:rPr>
        <w:fldChar w:fldCharType="end"/>
      </w:r>
      <w:r>
        <w:rPr>
          <w:rStyle w:val="LinkdaInternet"/>
          <w:i/>
          <w:iCs/>
          <w:sz w:val="22"/>
          <w:szCs w:val="22"/>
        </w:rPr>
        <w:t xml:space="preserve">caput, </w:t>
      </w:r>
      <w:r>
        <w:rPr>
          <w:rStyle w:val="LinkdaInternet"/>
          <w:sz w:val="22"/>
          <w:szCs w:val="22"/>
        </w:rPr>
        <w:t>da Lei n.º 14.133, de 2021).</w:t>
      </w:r>
    </w:p>
    <w:p>
      <w:pPr>
        <w:pStyle w:val="Nivel2"/>
        <w:numPr>
          <w:ilvl w:val="0"/>
          <w:numId w:val="0"/>
        </w:numPr>
        <w:spacing w:before="0" w:after="0"/>
        <w:ind w:left="0" w:hanging="0"/>
        <w:rPr>
          <w:highlight w:val="none"/>
          <w:shd w:fill="auto" w:val="clear"/>
        </w:rPr>
      </w:pPr>
      <w:r>
        <w:rPr>
          <w:shd w:fill="auto" w:val="clear"/>
        </w:rPr>
      </w:r>
    </w:p>
    <w:p>
      <w:pPr>
        <w:pStyle w:val="Nivel2"/>
        <w:numPr>
          <w:ilvl w:val="0"/>
          <w:numId w:val="0"/>
        </w:numPr>
        <w:spacing w:lineRule="auto" w:line="360" w:before="0" w:after="0"/>
        <w:ind w:left="0" w:hanging="0"/>
        <w:rPr>
          <w:sz w:val="22"/>
          <w:szCs w:val="22"/>
        </w:rPr>
      </w:pPr>
      <w:r>
        <w:rPr>
          <w:b/>
          <w:bCs/>
          <w:sz w:val="22"/>
          <w:szCs w:val="22"/>
          <w:shd w:fill="auto" w:val="clear"/>
        </w:rPr>
        <w:t>12.7.</w:t>
      </w:r>
      <w:r>
        <w:rPr>
          <w:sz w:val="22"/>
          <w:szCs w:val="22"/>
          <w:shd w:fill="auto" w:val="clear"/>
        </w:rPr>
        <w:t xml:space="preserve">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0"/>
        </w:numPr>
        <w:spacing w:lineRule="auto" w:line="360"/>
        <w:ind w:left="0" w:hanging="0"/>
        <w:rPr>
          <w:sz w:val="22"/>
          <w:szCs w:val="22"/>
        </w:rPr>
      </w:pPr>
      <w:r>
        <w:rPr>
          <w:sz w:val="22"/>
          <w:szCs w:val="22"/>
        </w:rPr>
      </w:r>
    </w:p>
    <w:p>
      <w:pPr>
        <w:pStyle w:val="Nivel01"/>
        <w:numPr>
          <w:ilvl w:val="0"/>
          <w:numId w:val="0"/>
        </w:numPr>
        <w:spacing w:lineRule="auto" w:line="360"/>
        <w:ind w:left="0" w:hanging="0"/>
        <w:rPr>
          <w:sz w:val="22"/>
          <w:szCs w:val="22"/>
        </w:rPr>
      </w:pPr>
      <w:r>
        <w:rPr>
          <w:sz w:val="22"/>
          <w:szCs w:val="22"/>
        </w:rPr>
      </w:r>
    </w:p>
    <w:p>
      <w:pPr>
        <w:pStyle w:val="Nivel01"/>
        <w:numPr>
          <w:ilvl w:val="0"/>
          <w:numId w:val="0"/>
        </w:numPr>
        <w:spacing w:lineRule="auto" w:line="360" w:before="0" w:after="0"/>
        <w:ind w:left="0" w:hanging="0"/>
        <w:rPr>
          <w:sz w:val="22"/>
          <w:szCs w:val="22"/>
        </w:rPr>
      </w:pPr>
      <w:r>
        <w:rPr>
          <w:sz w:val="22"/>
          <w:szCs w:val="22"/>
        </w:rPr>
        <w:t>CLÁUSULA DÉCIMA TERCEIRA – DOTAÇÃO ORÇAMENTÁRIA</w:t>
      </w:r>
    </w:p>
    <w:p>
      <w:pPr>
        <w:pStyle w:val="Normal"/>
        <w:numPr>
          <w:ilvl w:val="0"/>
          <w:numId w:val="0"/>
        </w:numPr>
        <w:spacing w:lineRule="auto" w:line="360"/>
        <w:ind w:left="0" w:hanging="0"/>
        <w:rPr>
          <w:sz w:val="22"/>
          <w:szCs w:val="22"/>
        </w:rPr>
      </w:pPr>
      <w:r>
        <w:rPr>
          <w:sz w:val="22"/>
          <w:szCs w:val="22"/>
        </w:rPr>
      </w:r>
    </w:p>
    <w:p>
      <w:pPr>
        <w:pStyle w:val="Nivel2"/>
        <w:numPr>
          <w:ilvl w:val="0"/>
          <w:numId w:val="0"/>
        </w:numPr>
        <w:spacing w:lineRule="auto" w:line="360" w:before="0" w:after="0"/>
        <w:ind w:left="0" w:hanging="0"/>
        <w:rPr/>
      </w:pPr>
      <w:r>
        <w:rPr>
          <w:b/>
          <w:bCs/>
          <w:sz w:val="22"/>
          <w:szCs w:val="22"/>
        </w:rPr>
        <w:t>13.1.</w:t>
      </w:r>
      <w:r>
        <w:rPr>
          <w:sz w:val="22"/>
          <w:szCs w:val="22"/>
        </w:rPr>
        <w:t xml:space="preserve"> A despesa decorrente da execução objeto deste processo, correrão à conta dos recursos consignados no Orçamento do FUNDO MUNICIPAL DE DESENVOLVIMENTO ECONÔMICO, para o exercício de 2026 conforme indicado abaixo:</w:t>
      </w:r>
    </w:p>
    <w:p>
      <w:pPr>
        <w:pStyle w:val="Normal"/>
        <w:rPr>
          <w:rFonts w:ascii="Arial" w:hAnsi="Arial"/>
          <w:sz w:val="22"/>
          <w:szCs w:val="22"/>
        </w:rPr>
      </w:pPr>
      <w:r>
        <w:rPr>
          <w:rFonts w:ascii="Arial" w:hAnsi="Arial"/>
          <w:sz w:val="22"/>
          <w:szCs w:val="22"/>
        </w:rPr>
      </w:r>
    </w:p>
    <w:tbl>
      <w:tblPr>
        <w:tblW w:w="9390" w:type="dxa"/>
        <w:jc w:val="left"/>
        <w:tblInd w:w="0" w:type="dxa"/>
        <w:tblLayout w:type="fixed"/>
        <w:tblCellMar>
          <w:top w:w="55" w:type="dxa"/>
          <w:left w:w="55" w:type="dxa"/>
          <w:bottom w:w="55" w:type="dxa"/>
          <w:right w:w="55" w:type="dxa"/>
        </w:tblCellMar>
      </w:tblPr>
      <w:tblGrid>
        <w:gridCol w:w="3509"/>
        <w:gridCol w:w="5880"/>
      </w:tblGrid>
      <w:tr>
        <w:trPr/>
        <w:tc>
          <w:tcPr>
            <w:tcW w:w="938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jc w:val="both"/>
              <w:rPr>
                <w:rFonts w:ascii="Arial" w:hAnsi="Arial" w:cs="Arial"/>
                <w:b/>
                <w:b/>
                <w:bCs/>
                <w:sz w:val="22"/>
                <w:szCs w:val="22"/>
                <w:shd w:fill="CCCCCC" w:val="clear"/>
              </w:rPr>
            </w:pPr>
            <w:r>
              <w:rPr>
                <w:rFonts w:cs="Arial" w:ascii="Arial" w:hAnsi="Arial"/>
                <w:b/>
                <w:bCs/>
                <w:sz w:val="22"/>
                <w:szCs w:val="22"/>
                <w:shd w:fill="CCCCCC" w:val="clear"/>
              </w:rPr>
              <w:t>DOTAÇÃO ORÇAMENTÁRIA</w:t>
            </w:r>
          </w:p>
        </w:tc>
      </w:tr>
      <w:tr>
        <w:trPr/>
        <w:tc>
          <w:tcPr>
            <w:tcW w:w="3509" w:type="dxa"/>
            <w:tcBorders>
              <w:top w:val="single" w:sz="4" w:space="0" w:color="000000"/>
              <w:left w:val="single" w:sz="4" w:space="0" w:color="000000"/>
              <w:bottom w:val="single" w:sz="4" w:space="0" w:color="000000"/>
            </w:tcBorders>
          </w:tcPr>
          <w:p>
            <w:pPr>
              <w:pStyle w:val="Normal"/>
              <w:widowControl w:val="false"/>
              <w:spacing w:lineRule="auto" w:line="360"/>
              <w:jc w:val="both"/>
              <w:rPr>
                <w:rFonts w:ascii="Arial" w:hAnsi="Arial" w:cs="Arial"/>
                <w:sz w:val="22"/>
                <w:szCs w:val="22"/>
              </w:rPr>
            </w:pPr>
            <w:r>
              <w:rPr>
                <w:rFonts w:cs="Arial" w:ascii="Arial" w:hAnsi="Arial"/>
                <w:sz w:val="22"/>
                <w:szCs w:val="22"/>
              </w:rPr>
              <w:t>Atividade / Projeto</w:t>
            </w:r>
          </w:p>
        </w:tc>
        <w:tc>
          <w:tcPr>
            <w:tcW w:w="58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jc w:val="both"/>
              <w:rPr>
                <w:rFonts w:ascii="Arial" w:hAnsi="Arial" w:cs="Arial"/>
                <w:b/>
                <w:b/>
                <w:bCs/>
                <w:sz w:val="22"/>
                <w:szCs w:val="22"/>
              </w:rPr>
            </w:pPr>
            <w:r>
              <w:rPr>
                <w:rFonts w:cs="Arial" w:ascii="Arial" w:hAnsi="Arial"/>
                <w:b/>
                <w:bCs/>
                <w:sz w:val="22"/>
                <w:szCs w:val="22"/>
              </w:rPr>
              <w:t>Manutenção do Programa Quissamã Empreendedor</w:t>
            </w:r>
          </w:p>
        </w:tc>
      </w:tr>
      <w:tr>
        <w:trPr/>
        <w:tc>
          <w:tcPr>
            <w:tcW w:w="3509" w:type="dxa"/>
            <w:tcBorders>
              <w:left w:val="single" w:sz="4" w:space="0" w:color="000000"/>
              <w:bottom w:val="single" w:sz="4" w:space="0" w:color="000000"/>
            </w:tcBorders>
          </w:tcPr>
          <w:p>
            <w:pPr>
              <w:pStyle w:val="Normal"/>
              <w:widowControl w:val="false"/>
              <w:spacing w:lineRule="auto" w:line="360"/>
              <w:jc w:val="both"/>
              <w:rPr>
                <w:rFonts w:ascii="Arial" w:hAnsi="Arial" w:cs="Arial"/>
                <w:sz w:val="22"/>
                <w:szCs w:val="22"/>
              </w:rPr>
            </w:pPr>
            <w:r>
              <w:rPr>
                <w:rFonts w:cs="Arial" w:ascii="Arial" w:hAnsi="Arial"/>
                <w:sz w:val="22"/>
                <w:szCs w:val="22"/>
              </w:rPr>
              <w:t>Ficha</w:t>
            </w:r>
          </w:p>
        </w:tc>
        <w:tc>
          <w:tcPr>
            <w:tcW w:w="5880" w:type="dxa"/>
            <w:tcBorders>
              <w:left w:val="single" w:sz="4" w:space="0" w:color="000000"/>
              <w:bottom w:val="single" w:sz="4" w:space="0" w:color="000000"/>
              <w:right w:val="single" w:sz="4" w:space="0" w:color="000000"/>
            </w:tcBorders>
          </w:tcPr>
          <w:p>
            <w:pPr>
              <w:pStyle w:val="Normal"/>
              <w:widowControl w:val="false"/>
              <w:spacing w:lineRule="auto" w:line="360"/>
              <w:jc w:val="both"/>
              <w:rPr>
                <w:rFonts w:ascii="Arial" w:hAnsi="Arial" w:cs="Arial"/>
                <w:b/>
                <w:b/>
                <w:bCs/>
                <w:sz w:val="22"/>
                <w:szCs w:val="22"/>
              </w:rPr>
            </w:pPr>
            <w:r>
              <w:rPr>
                <w:rFonts w:cs="Arial" w:ascii="Arial" w:hAnsi="Arial"/>
                <w:b/>
                <w:bCs/>
                <w:sz w:val="22"/>
                <w:szCs w:val="22"/>
              </w:rPr>
              <w:t>1695 / 44.90.51</w:t>
            </w:r>
          </w:p>
        </w:tc>
      </w:tr>
      <w:tr>
        <w:trPr/>
        <w:tc>
          <w:tcPr>
            <w:tcW w:w="3509" w:type="dxa"/>
            <w:tcBorders>
              <w:left w:val="single" w:sz="4" w:space="0" w:color="000000"/>
              <w:bottom w:val="single" w:sz="4" w:space="0" w:color="000000"/>
            </w:tcBorders>
          </w:tcPr>
          <w:p>
            <w:pPr>
              <w:pStyle w:val="Normal"/>
              <w:widowControl w:val="false"/>
              <w:spacing w:lineRule="auto" w:line="360"/>
              <w:jc w:val="both"/>
              <w:rPr>
                <w:rFonts w:ascii="Arial" w:hAnsi="Arial" w:cs="Arial"/>
                <w:sz w:val="22"/>
                <w:szCs w:val="22"/>
              </w:rPr>
            </w:pPr>
            <w:r>
              <w:rPr>
                <w:rFonts w:cs="Arial" w:ascii="Arial" w:hAnsi="Arial"/>
                <w:sz w:val="22"/>
                <w:szCs w:val="22"/>
              </w:rPr>
              <w:t>Fonte de Recursos</w:t>
            </w:r>
          </w:p>
        </w:tc>
        <w:tc>
          <w:tcPr>
            <w:tcW w:w="5880" w:type="dxa"/>
            <w:tcBorders>
              <w:left w:val="single" w:sz="4" w:space="0" w:color="000000"/>
              <w:bottom w:val="single" w:sz="4" w:space="0" w:color="000000"/>
              <w:right w:val="single" w:sz="4" w:space="0" w:color="000000"/>
            </w:tcBorders>
          </w:tcPr>
          <w:p>
            <w:pPr>
              <w:pStyle w:val="Normal"/>
              <w:widowControl w:val="false"/>
              <w:spacing w:lineRule="auto" w:line="360"/>
              <w:jc w:val="both"/>
              <w:rPr>
                <w:rFonts w:ascii="Arial" w:hAnsi="Arial" w:cs="Arial"/>
                <w:b/>
                <w:b/>
                <w:bCs/>
                <w:sz w:val="22"/>
                <w:szCs w:val="22"/>
              </w:rPr>
            </w:pPr>
            <w:r>
              <w:rPr>
                <w:rFonts w:cs="Arial" w:ascii="Arial" w:hAnsi="Arial"/>
                <w:b/>
                <w:bCs/>
                <w:sz w:val="22"/>
                <w:szCs w:val="22"/>
              </w:rPr>
              <w:t>Royalties</w:t>
            </w:r>
          </w:p>
        </w:tc>
      </w:tr>
      <w:tr>
        <w:trPr/>
        <w:tc>
          <w:tcPr>
            <w:tcW w:w="3509" w:type="dxa"/>
            <w:tcBorders>
              <w:left w:val="single" w:sz="4" w:space="0" w:color="000000"/>
              <w:bottom w:val="single" w:sz="4" w:space="0" w:color="000000"/>
            </w:tcBorders>
          </w:tcPr>
          <w:p>
            <w:pPr>
              <w:pStyle w:val="Normal"/>
              <w:widowControl w:val="false"/>
              <w:spacing w:lineRule="auto" w:line="360"/>
              <w:jc w:val="both"/>
              <w:rPr>
                <w:rFonts w:ascii="Arial" w:hAnsi="Arial" w:cs="Arial"/>
                <w:sz w:val="22"/>
                <w:szCs w:val="22"/>
              </w:rPr>
            </w:pPr>
            <w:r>
              <w:rPr>
                <w:rFonts w:cs="Arial" w:ascii="Arial" w:hAnsi="Arial"/>
                <w:sz w:val="22"/>
                <w:szCs w:val="22"/>
              </w:rPr>
              <w:t>Funcional Programática</w:t>
            </w:r>
          </w:p>
        </w:tc>
        <w:tc>
          <w:tcPr>
            <w:tcW w:w="5880" w:type="dxa"/>
            <w:tcBorders>
              <w:left w:val="single" w:sz="4" w:space="0" w:color="000000"/>
              <w:bottom w:val="single" w:sz="4" w:space="0" w:color="000000"/>
              <w:right w:val="single" w:sz="4" w:space="0" w:color="000000"/>
            </w:tcBorders>
          </w:tcPr>
          <w:p>
            <w:pPr>
              <w:pStyle w:val="Normal"/>
              <w:widowControl w:val="false"/>
              <w:spacing w:lineRule="auto" w:line="360"/>
              <w:jc w:val="both"/>
              <w:rPr>
                <w:rFonts w:ascii="Arial" w:hAnsi="Arial" w:cs="Arial"/>
                <w:b/>
                <w:b/>
                <w:bCs/>
                <w:sz w:val="22"/>
                <w:szCs w:val="22"/>
              </w:rPr>
            </w:pPr>
            <w:r>
              <w:rPr>
                <w:rFonts w:cs="Arial" w:ascii="Arial" w:hAnsi="Arial"/>
                <w:b/>
                <w:bCs/>
                <w:sz w:val="22"/>
                <w:szCs w:val="22"/>
              </w:rPr>
              <w:t>22.661.0112.1042 (indústria)</w:t>
            </w:r>
          </w:p>
        </w:tc>
      </w:tr>
      <w:tr>
        <w:trPr/>
        <w:tc>
          <w:tcPr>
            <w:tcW w:w="3509" w:type="dxa"/>
            <w:tcBorders>
              <w:left w:val="single" w:sz="4" w:space="0" w:color="000000"/>
              <w:bottom w:val="single" w:sz="4" w:space="0" w:color="000000"/>
            </w:tcBorders>
          </w:tcPr>
          <w:p>
            <w:pPr>
              <w:pStyle w:val="Normal"/>
              <w:widowControl w:val="false"/>
              <w:spacing w:lineRule="auto" w:line="360"/>
              <w:jc w:val="both"/>
              <w:rPr>
                <w:rFonts w:ascii="Arial" w:hAnsi="Arial" w:cs="Arial"/>
                <w:sz w:val="22"/>
                <w:szCs w:val="22"/>
              </w:rPr>
            </w:pPr>
            <w:r>
              <w:rPr>
                <w:rFonts w:cs="Arial" w:ascii="Arial" w:hAnsi="Arial"/>
                <w:sz w:val="22"/>
                <w:szCs w:val="22"/>
              </w:rPr>
              <w:t>Subfunção</w:t>
            </w:r>
          </w:p>
        </w:tc>
        <w:tc>
          <w:tcPr>
            <w:tcW w:w="5880" w:type="dxa"/>
            <w:tcBorders>
              <w:left w:val="single" w:sz="4" w:space="0" w:color="000000"/>
              <w:bottom w:val="single" w:sz="4" w:space="0" w:color="000000"/>
              <w:right w:val="single" w:sz="4" w:space="0" w:color="000000"/>
            </w:tcBorders>
          </w:tcPr>
          <w:p>
            <w:pPr>
              <w:pStyle w:val="Normal"/>
              <w:widowControl w:val="false"/>
              <w:spacing w:lineRule="auto" w:line="360"/>
              <w:jc w:val="both"/>
              <w:rPr>
                <w:rFonts w:ascii="Arial" w:hAnsi="Arial" w:cs="Arial"/>
                <w:b/>
                <w:b/>
                <w:bCs/>
                <w:sz w:val="22"/>
                <w:szCs w:val="22"/>
              </w:rPr>
            </w:pPr>
            <w:r>
              <w:rPr>
                <w:rFonts w:cs="Arial" w:ascii="Arial" w:hAnsi="Arial"/>
                <w:b/>
                <w:bCs/>
                <w:sz w:val="22"/>
                <w:szCs w:val="22"/>
              </w:rPr>
              <w:t>661  (Promoção Industrial)</w:t>
            </w:r>
          </w:p>
        </w:tc>
      </w:tr>
      <w:tr>
        <w:trPr/>
        <w:tc>
          <w:tcPr>
            <w:tcW w:w="3509" w:type="dxa"/>
            <w:tcBorders>
              <w:left w:val="single" w:sz="4" w:space="0" w:color="000000"/>
              <w:bottom w:val="single" w:sz="4" w:space="0" w:color="000000"/>
            </w:tcBorders>
          </w:tcPr>
          <w:p>
            <w:pPr>
              <w:pStyle w:val="Normal"/>
              <w:widowControl w:val="false"/>
              <w:spacing w:lineRule="auto" w:line="360"/>
              <w:jc w:val="both"/>
              <w:rPr>
                <w:rFonts w:ascii="Arial" w:hAnsi="Arial" w:cs="Arial"/>
                <w:sz w:val="22"/>
                <w:szCs w:val="22"/>
              </w:rPr>
            </w:pPr>
            <w:r>
              <w:rPr>
                <w:rFonts w:cs="Arial" w:ascii="Arial" w:hAnsi="Arial"/>
                <w:sz w:val="22"/>
                <w:szCs w:val="22"/>
              </w:rPr>
              <w:t>Unidade Orçamentária</w:t>
            </w:r>
          </w:p>
        </w:tc>
        <w:tc>
          <w:tcPr>
            <w:tcW w:w="5880" w:type="dxa"/>
            <w:tcBorders>
              <w:left w:val="single" w:sz="4" w:space="0" w:color="000000"/>
              <w:bottom w:val="single" w:sz="4" w:space="0" w:color="000000"/>
              <w:right w:val="single" w:sz="4" w:space="0" w:color="000000"/>
            </w:tcBorders>
          </w:tcPr>
          <w:p>
            <w:pPr>
              <w:pStyle w:val="Normal"/>
              <w:widowControl w:val="false"/>
              <w:spacing w:lineRule="auto" w:line="360"/>
              <w:jc w:val="both"/>
              <w:rPr>
                <w:rFonts w:ascii="Arial" w:hAnsi="Arial" w:cs="Arial"/>
                <w:b/>
                <w:b/>
                <w:bCs/>
                <w:sz w:val="22"/>
                <w:szCs w:val="22"/>
              </w:rPr>
            </w:pPr>
            <w:r>
              <w:rPr>
                <w:rFonts w:cs="Arial" w:ascii="Arial" w:hAnsi="Arial"/>
                <w:b/>
                <w:bCs/>
                <w:sz w:val="22"/>
                <w:szCs w:val="22"/>
              </w:rPr>
              <w:t>41.01</w:t>
            </w:r>
          </w:p>
        </w:tc>
      </w:tr>
      <w:tr>
        <w:trPr/>
        <w:tc>
          <w:tcPr>
            <w:tcW w:w="3509" w:type="dxa"/>
            <w:tcBorders>
              <w:left w:val="single" w:sz="4" w:space="0" w:color="000000"/>
              <w:bottom w:val="single" w:sz="4" w:space="0" w:color="000000"/>
            </w:tcBorders>
          </w:tcPr>
          <w:p>
            <w:pPr>
              <w:pStyle w:val="Normal"/>
              <w:widowControl w:val="false"/>
              <w:spacing w:lineRule="auto" w:line="360"/>
              <w:jc w:val="both"/>
              <w:rPr>
                <w:rFonts w:ascii="Arial" w:hAnsi="Arial" w:cs="Arial"/>
                <w:sz w:val="22"/>
                <w:szCs w:val="22"/>
              </w:rPr>
            </w:pPr>
            <w:r>
              <w:rPr>
                <w:rFonts w:cs="Arial" w:ascii="Arial" w:hAnsi="Arial"/>
                <w:sz w:val="22"/>
                <w:szCs w:val="22"/>
              </w:rPr>
              <w:t>Valor</w:t>
            </w:r>
          </w:p>
        </w:tc>
        <w:tc>
          <w:tcPr>
            <w:tcW w:w="5880" w:type="dxa"/>
            <w:tcBorders>
              <w:left w:val="single" w:sz="4" w:space="0" w:color="000000"/>
              <w:bottom w:val="single" w:sz="4" w:space="0" w:color="000000"/>
              <w:right w:val="single" w:sz="4" w:space="0" w:color="000000"/>
            </w:tcBorders>
          </w:tcPr>
          <w:p>
            <w:pPr>
              <w:pStyle w:val="Normal"/>
              <w:widowControl w:val="false"/>
              <w:spacing w:lineRule="auto" w:line="360" w:before="0" w:after="160"/>
              <w:jc w:val="both"/>
              <w:rPr>
                <w:rFonts w:ascii="Arial" w:hAnsi="Arial" w:cs="Arial"/>
                <w:b/>
                <w:b/>
                <w:sz w:val="22"/>
                <w:szCs w:val="22"/>
              </w:rPr>
            </w:pPr>
            <w:r>
              <w:rPr>
                <w:rFonts w:cs="Arial" w:ascii="Arial" w:hAnsi="Arial"/>
                <w:b/>
                <w:sz w:val="22"/>
                <w:szCs w:val="22"/>
              </w:rPr>
              <w:t>R$ 137.827,70</w:t>
            </w:r>
          </w:p>
        </w:tc>
      </w:tr>
    </w:tbl>
    <w:p>
      <w:pPr>
        <w:pStyle w:val="Normal"/>
        <w:rPr>
          <w:rFonts w:ascii="Arial" w:hAnsi="Arial"/>
          <w:sz w:val="22"/>
          <w:szCs w:val="22"/>
        </w:rPr>
      </w:pPr>
      <w:r>
        <w:rPr>
          <w:rFonts w:ascii="Arial" w:hAnsi="Arial"/>
          <w:sz w:val="22"/>
          <w:szCs w:val="22"/>
        </w:rPr>
      </w:r>
    </w:p>
    <w:p>
      <w:pPr>
        <w:pStyle w:val="Nivel01"/>
        <w:numPr>
          <w:ilvl w:val="0"/>
          <w:numId w:val="0"/>
        </w:numPr>
        <w:spacing w:lineRule="auto" w:line="360" w:before="120" w:after="288"/>
        <w:ind w:left="0" w:hanging="0"/>
        <w:rPr>
          <w:sz w:val="22"/>
          <w:szCs w:val="22"/>
        </w:rPr>
      </w:pPr>
      <w:r>
        <w:rPr>
          <w:sz w:val="22"/>
          <w:szCs w:val="22"/>
        </w:rPr>
      </w:r>
    </w:p>
    <w:p>
      <w:pPr>
        <w:pStyle w:val="Nivel01"/>
        <w:numPr>
          <w:ilvl w:val="0"/>
          <w:numId w:val="0"/>
        </w:numPr>
        <w:spacing w:lineRule="auto" w:line="360" w:before="120" w:after="288"/>
        <w:ind w:left="0" w:hanging="0"/>
        <w:rPr>
          <w:sz w:val="22"/>
          <w:szCs w:val="22"/>
        </w:rPr>
      </w:pPr>
      <w:r>
        <w:rPr>
          <w:sz w:val="22"/>
          <w:szCs w:val="22"/>
        </w:rPr>
        <w:t xml:space="preserve">CLÁUSULA DÉCIMA QUARTA – DOS CASOS OMISSOS </w:t>
      </w:r>
    </w:p>
    <w:p>
      <w:pPr>
        <w:pStyle w:val="Nivel2"/>
        <w:numPr>
          <w:ilvl w:val="0"/>
          <w:numId w:val="0"/>
        </w:numPr>
        <w:spacing w:lineRule="auto" w:line="360"/>
        <w:ind w:left="0" w:hanging="0"/>
        <w:rPr/>
      </w:pPr>
      <w:r>
        <w:rPr>
          <w:b/>
          <w:bCs/>
          <w:sz w:val="22"/>
          <w:szCs w:val="22"/>
        </w:rPr>
        <w:t>14.1.</w:t>
      </w:r>
      <w:r>
        <w:rPr>
          <w:sz w:val="22"/>
          <w:szCs w:val="22"/>
        </w:rPr>
        <w:t xml:space="preserve"> Os casos omissos serão decididos pelo contratante, segundo as disposições contidas na </w:t>
      </w:r>
      <w:hyperlink r:id="rId8">
        <w:r>
          <w:rPr>
            <w:sz w:val="22"/>
            <w:szCs w:val="22"/>
          </w:rPr>
          <w:t>Lei nº 14.133, de 2021</w:t>
        </w:r>
      </w:hyperlink>
      <w:r>
        <w:rPr>
          <w:sz w:val="22"/>
          <w:szCs w:val="22"/>
        </w:rPr>
        <w:t xml:space="preserve">, e demais normas federais aplicáveis e, subsidiariamente, segundo as disposições contidas na </w:t>
      </w:r>
      <w:hyperlink r:id="rId9">
        <w:r>
          <w:rPr>
            <w:rStyle w:val="LinkdaInternet"/>
            <w:sz w:val="22"/>
            <w:szCs w:val="22"/>
          </w:rPr>
          <w:t>Lei nº 8.078, de 1990 – Código de Defesa do Consumidor</w:t>
        </w:r>
      </w:hyperlink>
      <w:r>
        <w:rPr>
          <w:sz w:val="22"/>
          <w:szCs w:val="22"/>
        </w:rPr>
        <w:t xml:space="preserve"> – e normas e princípios gerais dos contratos.</w:t>
      </w:r>
    </w:p>
    <w:p>
      <w:pPr>
        <w:pStyle w:val="Nivel01"/>
        <w:numPr>
          <w:ilvl w:val="0"/>
          <w:numId w:val="0"/>
        </w:numPr>
        <w:spacing w:lineRule="auto" w:line="360"/>
        <w:ind w:left="0" w:hanging="0"/>
        <w:rPr>
          <w:sz w:val="22"/>
          <w:szCs w:val="22"/>
        </w:rPr>
      </w:pPr>
      <w:r>
        <w:rPr>
          <w:sz w:val="22"/>
          <w:szCs w:val="22"/>
        </w:rPr>
        <w:t>CLÁUSULA DÉCIMA QUINTA – ALTERAÇÕES</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pPr>
      <w:r>
        <w:rPr>
          <w:b/>
          <w:bCs/>
          <w:sz w:val="22"/>
          <w:szCs w:val="22"/>
        </w:rPr>
        <w:t>15.1.</w:t>
      </w:r>
      <w:r>
        <w:rPr>
          <w:sz w:val="22"/>
          <w:szCs w:val="22"/>
        </w:rPr>
        <w:t xml:space="preserve"> Eventuais alterações contratuais reger-se-ão pela disciplina dos </w:t>
      </w:r>
      <w:r>
        <w:fldChar w:fldCharType="begin"/>
      </w:r>
      <w:r>
        <w:rPr>
          <w:rStyle w:val="LinkdaInternet"/>
          <w:sz w:val="22"/>
          <w:szCs w:val="22"/>
        </w:rPr>
        <w:instrText xml:space="preserve"> HYPERLINK "http://www.planalto.gov.br/ccivil_03/_ato2019-2022/2021/lei/L14133.htm" \l "art124"</w:instrText>
      </w:r>
      <w:r>
        <w:rPr>
          <w:rStyle w:val="LinkdaInternet"/>
          <w:sz w:val="22"/>
          <w:szCs w:val="22"/>
        </w:rPr>
        <w:fldChar w:fldCharType="separate"/>
      </w:r>
      <w:r>
        <w:rPr>
          <w:rStyle w:val="LinkdaInternet"/>
          <w:sz w:val="22"/>
          <w:szCs w:val="22"/>
        </w:rPr>
        <w:t>arts. 124 e seguintes da Lei nº 14.133, de 2021</w:t>
      </w:r>
      <w:r>
        <w:rPr>
          <w:rStyle w:val="LinkdaInternet"/>
          <w:sz w:val="22"/>
          <w:szCs w:val="22"/>
        </w:rPr>
        <w:fldChar w:fldCharType="end"/>
      </w:r>
      <w:r>
        <w:rPr>
          <w:sz w:val="22"/>
          <w:szCs w:val="22"/>
        </w:rPr>
        <w:t>.</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sz w:val="22"/>
          <w:szCs w:val="22"/>
        </w:rPr>
      </w:pPr>
      <w:r>
        <w:rPr>
          <w:b/>
          <w:bCs/>
          <w:sz w:val="22"/>
          <w:szCs w:val="22"/>
        </w:rPr>
        <w:t>15.2.</w:t>
      </w:r>
      <w:r>
        <w:rPr>
          <w:sz w:val="22"/>
          <w:szCs w:val="22"/>
        </w:rPr>
        <w:t xml:space="preserve"> </w:t>
      </w:r>
      <w:r>
        <w:rPr>
          <w:rFonts w:eastAsia="Tahoma" w:cs="Arial"/>
          <w:b w:val="false"/>
          <w:bCs w:val="false"/>
          <w:i w:val="false"/>
          <w:iCs w:val="false"/>
          <w:sz w:val="22"/>
          <w:szCs w:val="22"/>
        </w:rPr>
        <w:t>A contratada é obrigado a aceitar, nas mesmas condições contratuais, os acréscimos ou supressões que se fizerem necessários, até o limite de 25% (vinte e cinco por cento) do valor inicial at</w:t>
      </w:r>
      <w:r>
        <w:rPr>
          <w:rFonts w:eastAsia="Tahoma" w:cs="Arial"/>
          <w:b w:val="false"/>
          <w:bCs w:val="false"/>
          <w:i w:val="false"/>
          <w:iCs w:val="false"/>
          <w:sz w:val="22"/>
          <w:szCs w:val="22"/>
          <w:shd w:fill="auto" w:val="clear"/>
        </w:rPr>
        <w:t>ualizado do contrato que se fizerem nas obras, nos serviços ou nas compras, e, no caso de reforma de edifício ou equipamento, o limite para os acréscimos será de 50% (cinquenta por cento).</w:t>
      </w:r>
    </w:p>
    <w:p>
      <w:pPr>
        <w:pStyle w:val="Nivel2"/>
        <w:numPr>
          <w:ilvl w:val="0"/>
          <w:numId w:val="0"/>
        </w:numPr>
        <w:spacing w:lineRule="auto" w:line="360" w:before="0" w:after="0"/>
        <w:ind w:left="0" w:hanging="0"/>
        <w:rPr>
          <w:shd w:fill="auto" w:val="clear"/>
        </w:rPr>
      </w:pPr>
      <w:r>
        <w:rPr>
          <w:shd w:fill="auto" w:val="clear"/>
        </w:rPr>
      </w:r>
    </w:p>
    <w:p>
      <w:pPr>
        <w:pStyle w:val="Nivel2"/>
        <w:numPr>
          <w:ilvl w:val="0"/>
          <w:numId w:val="0"/>
        </w:numPr>
        <w:spacing w:lineRule="auto" w:line="360" w:before="0" w:after="0"/>
        <w:ind w:left="0" w:hanging="0"/>
        <w:rPr>
          <w:sz w:val="22"/>
          <w:szCs w:val="22"/>
        </w:rPr>
      </w:pPr>
      <w:r>
        <w:rPr>
          <w:b/>
          <w:bCs/>
          <w:sz w:val="22"/>
          <w:szCs w:val="22"/>
          <w:shd w:fill="auto" w:val="clear"/>
        </w:rPr>
        <w:t>15.3.</w:t>
      </w:r>
      <w:r>
        <w:rPr>
          <w:sz w:val="22"/>
          <w:szCs w:val="22"/>
          <w:shd w:fill="auto" w:val="clear"/>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pPr>
      <w:r>
        <w:rPr>
          <w:b/>
          <w:bCs/>
          <w:sz w:val="22"/>
          <w:szCs w:val="22"/>
        </w:rPr>
        <w:t>15.4.</w:t>
      </w:r>
      <w:r>
        <w:rPr>
          <w:sz w:val="22"/>
          <w:szCs w:val="22"/>
        </w:rPr>
        <w:t xml:space="preserve"> Registros que não caracterizam alteração do contrato podem ser realizados por simples apostila, dispensada a celebração de termo aditivo, na forma do </w:t>
      </w:r>
      <w:r>
        <w:fldChar w:fldCharType="begin"/>
      </w:r>
      <w:r>
        <w:rPr>
          <w:rStyle w:val="LinkdaInternet"/>
          <w:sz w:val="22"/>
          <w:szCs w:val="22"/>
        </w:rPr>
        <w:instrText xml:space="preserve"> HYPERLINK "http://www.planalto.gov.br/ccivil_03/_ato2019-2022/2021/lei/L14133.htm" \l "art136"</w:instrText>
      </w:r>
      <w:r>
        <w:rPr>
          <w:rStyle w:val="LinkdaInternet"/>
          <w:sz w:val="22"/>
          <w:szCs w:val="22"/>
        </w:rPr>
        <w:fldChar w:fldCharType="separate"/>
      </w:r>
      <w:r>
        <w:rPr>
          <w:rStyle w:val="LinkdaInternet"/>
          <w:sz w:val="22"/>
          <w:szCs w:val="22"/>
        </w:rPr>
        <w:t>art. 136 da Lei nº 14.133, de 2021</w:t>
      </w:r>
      <w:r>
        <w:rPr>
          <w:rStyle w:val="LinkdaInternet"/>
          <w:sz w:val="22"/>
          <w:szCs w:val="22"/>
        </w:rPr>
        <w:fldChar w:fldCharType="end"/>
      </w:r>
      <w:r>
        <w:rPr>
          <w:sz w:val="22"/>
          <w:szCs w:val="22"/>
        </w:rPr>
        <w:t>.</w:t>
      </w:r>
    </w:p>
    <w:p>
      <w:pPr>
        <w:pStyle w:val="Nivel01"/>
        <w:numPr>
          <w:ilvl w:val="0"/>
          <w:numId w:val="0"/>
        </w:numPr>
        <w:spacing w:lineRule="auto" w:line="360"/>
        <w:ind w:left="0" w:hanging="0"/>
        <w:rPr>
          <w:sz w:val="22"/>
          <w:szCs w:val="22"/>
        </w:rPr>
      </w:pPr>
      <w:r>
        <w:rPr>
          <w:sz w:val="22"/>
          <w:szCs w:val="22"/>
        </w:rPr>
        <w:t>CLÁUSULA DÉCIMA SEXTA – PUBLICAÇÃO</w:t>
      </w:r>
    </w:p>
    <w:p>
      <w:pPr>
        <w:pStyle w:val="Nivel2"/>
        <w:numPr>
          <w:ilvl w:val="0"/>
          <w:numId w:val="0"/>
        </w:numPr>
        <w:spacing w:lineRule="auto" w:line="360" w:before="0" w:after="0"/>
        <w:ind w:left="0" w:hanging="0"/>
        <w:rPr>
          <w:sz w:val="22"/>
          <w:szCs w:val="22"/>
        </w:rPr>
      </w:pPr>
      <w:r>
        <w:rPr>
          <w:sz w:val="22"/>
          <w:szCs w:val="22"/>
        </w:rPr>
      </w:r>
    </w:p>
    <w:p>
      <w:pPr>
        <w:pStyle w:val="Nivel2"/>
        <w:numPr>
          <w:ilvl w:val="0"/>
          <w:numId w:val="0"/>
        </w:numPr>
        <w:spacing w:lineRule="auto" w:line="360" w:before="0" w:after="0"/>
        <w:ind w:left="0" w:hanging="0"/>
        <w:rPr/>
      </w:pPr>
      <w:r>
        <w:rPr>
          <w:b/>
          <w:bCs/>
          <w:sz w:val="22"/>
          <w:szCs w:val="22"/>
        </w:rPr>
        <w:t>16.1.</w:t>
      </w:r>
      <w:r>
        <w:rPr>
          <w:sz w:val="22"/>
          <w:szCs w:val="22"/>
        </w:rPr>
        <w:t xml:space="preserve"> Incumbirá ao contratante divulgar o presente instrumento no Portal Nacional de Contratações Públicas (PNCP), na forma prevista no </w:t>
      </w:r>
      <w:r>
        <w:fldChar w:fldCharType="begin"/>
      </w:r>
      <w:r>
        <w:rPr>
          <w:rStyle w:val="LinkdaInternet"/>
          <w:sz w:val="22"/>
          <w:szCs w:val="22"/>
        </w:rPr>
        <w:instrText xml:space="preserve"> HYPERLINK "http://www.planalto.gov.br/ccivil_03/_ato2019-2022/2021/lei/L14133.htm" \l "art94"</w:instrText>
      </w:r>
      <w:r>
        <w:rPr>
          <w:rStyle w:val="LinkdaInternet"/>
          <w:sz w:val="22"/>
          <w:szCs w:val="22"/>
        </w:rPr>
        <w:fldChar w:fldCharType="separate"/>
      </w:r>
      <w:r>
        <w:rPr>
          <w:rStyle w:val="LinkdaInternet"/>
          <w:sz w:val="22"/>
          <w:szCs w:val="22"/>
        </w:rPr>
        <w:t>art. 94 da Lei 14.133, de 2021</w:t>
      </w:r>
      <w:r>
        <w:rPr>
          <w:rStyle w:val="LinkdaInternet"/>
          <w:sz w:val="22"/>
          <w:szCs w:val="22"/>
        </w:rPr>
        <w:fldChar w:fldCharType="end"/>
      </w:r>
      <w:r>
        <w:rPr>
          <w:sz w:val="22"/>
          <w:szCs w:val="22"/>
        </w:rPr>
        <w:t xml:space="preserve">, bem como no respectivo sítio oficial na Internet, em atenção ao </w:t>
      </w:r>
      <w:r>
        <w:rPr>
          <w:sz w:val="22"/>
          <w:szCs w:val="22"/>
          <w:shd w:fill="auto" w:val="clear"/>
        </w:rPr>
        <w:t xml:space="preserve">art. 91, </w:t>
      </w:r>
      <w:r>
        <w:rPr>
          <w:i/>
          <w:iCs/>
          <w:sz w:val="22"/>
          <w:szCs w:val="22"/>
          <w:shd w:fill="auto" w:val="clear"/>
        </w:rPr>
        <w:t>caput,</w:t>
      </w:r>
      <w:r>
        <w:rPr>
          <w:sz w:val="22"/>
          <w:szCs w:val="22"/>
          <w:shd w:fill="auto" w:val="clear"/>
        </w:rPr>
        <w:t xml:space="preserve"> da Lei n.º 14.133, de 2021,</w:t>
      </w:r>
      <w:r>
        <w:rPr>
          <w:sz w:val="22"/>
          <w:szCs w:val="22"/>
        </w:rPr>
        <w:t xml:space="preserve"> e ao  </w:t>
      </w:r>
      <w:r>
        <w:fldChar w:fldCharType="begin"/>
      </w:r>
      <w:r>
        <w:rPr>
          <w:rStyle w:val="LinkdaInternet"/>
          <w:sz w:val="22"/>
          <w:szCs w:val="22"/>
        </w:rPr>
        <w:instrText xml:space="preserve"> HYPERLINK "https://www.planalto.gov.br/ccivil_03/_ato2011-2014/2011/lei/l12527.htm" \l "art8§2"</w:instrText>
      </w:r>
      <w:r>
        <w:rPr>
          <w:rStyle w:val="LinkdaInternet"/>
          <w:sz w:val="22"/>
          <w:szCs w:val="22"/>
        </w:rPr>
        <w:fldChar w:fldCharType="separate"/>
      </w:r>
      <w:r>
        <w:rPr>
          <w:rStyle w:val="LinkdaInternet"/>
          <w:sz w:val="22"/>
          <w:szCs w:val="22"/>
        </w:rPr>
        <w:t>art. 8º, §2º, da Lei n. 12.527, de 2011</w:t>
      </w:r>
      <w:r>
        <w:rPr>
          <w:rStyle w:val="LinkdaInternet"/>
          <w:sz w:val="22"/>
          <w:szCs w:val="22"/>
        </w:rPr>
        <w:fldChar w:fldCharType="end"/>
      </w:r>
      <w:r>
        <w:rPr>
          <w:sz w:val="22"/>
          <w:szCs w:val="22"/>
        </w:rPr>
        <w:t xml:space="preserve">, c/c </w:t>
      </w:r>
      <w:r>
        <w:fldChar w:fldCharType="begin"/>
      </w:r>
      <w:r>
        <w:rPr>
          <w:rStyle w:val="LinkdaInternet"/>
          <w:sz w:val="22"/>
          <w:szCs w:val="22"/>
        </w:rPr>
        <w:instrText xml:space="preserve"> HYPERLINK "https://www.planalto.gov.br/ccivil_03/_ato2011-2014/2012/decreto/d7724.htm" \l "art7§3"</w:instrText>
      </w:r>
      <w:r>
        <w:rPr>
          <w:rStyle w:val="LinkdaInternet"/>
          <w:sz w:val="22"/>
          <w:szCs w:val="22"/>
        </w:rPr>
        <w:fldChar w:fldCharType="separate"/>
      </w:r>
      <w:r>
        <w:rPr>
          <w:rStyle w:val="LinkdaInternet"/>
          <w:sz w:val="22"/>
          <w:szCs w:val="22"/>
        </w:rPr>
        <w:t>art. 7º, §3º, inciso V, do Decreto n. 7.724, de 2012.</w:t>
      </w:r>
      <w:r>
        <w:rPr>
          <w:rStyle w:val="LinkdaInternet"/>
          <w:sz w:val="22"/>
          <w:szCs w:val="22"/>
        </w:rPr>
        <w:fldChar w:fldCharType="end"/>
      </w:r>
      <w:r>
        <w:rPr>
          <w:sz w:val="22"/>
          <w:szCs w:val="22"/>
        </w:rPr>
        <w:t xml:space="preserve"> </w:t>
      </w:r>
    </w:p>
    <w:p>
      <w:pPr>
        <w:pStyle w:val="Nivel01"/>
        <w:numPr>
          <w:ilvl w:val="0"/>
          <w:numId w:val="0"/>
        </w:numPr>
        <w:spacing w:lineRule="auto" w:line="360"/>
        <w:ind w:left="0" w:hanging="0"/>
        <w:rPr>
          <w:sz w:val="22"/>
          <w:szCs w:val="22"/>
        </w:rPr>
      </w:pPr>
      <w:r>
        <w:rPr>
          <w:sz w:val="22"/>
          <w:szCs w:val="22"/>
        </w:rPr>
        <w:t xml:space="preserve">CLÁUSULA DÉCIMA SÉTIMA– FORO </w:t>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0" w:hanging="0"/>
        <w:jc w:val="both"/>
        <w:rPr>
          <w:color w:val="FFFFFF" w:themeColor="background1"/>
          <w:sz w:val="22"/>
          <w:szCs w:val="22"/>
        </w:rPr>
      </w:pPr>
      <w:r>
        <w:rPr>
          <w:color w:val="FFFFFF" w:themeColor="background1"/>
          <w:sz w:val="22"/>
          <w:szCs w:val="22"/>
        </w:rPr>
      </w:r>
    </w:p>
    <w:p>
      <w:pPr>
        <w:pStyle w:val="Nivel2"/>
        <w:numPr>
          <w:ilvl w:val="0"/>
          <w:numId w:val="0"/>
        </w:numPr>
        <w:spacing w:lineRule="auto" w:line="360" w:before="0" w:after="0"/>
        <w:ind w:left="0" w:hanging="0"/>
        <w:rPr/>
      </w:pPr>
      <w:r>
        <w:rPr>
          <w:b/>
          <w:bCs/>
          <w:color w:val="auto"/>
          <w:sz w:val="22"/>
          <w:szCs w:val="22"/>
        </w:rPr>
        <w:t>17.1.</w:t>
      </w:r>
      <w:r>
        <w:rPr>
          <w:color w:val="auto"/>
          <w:sz w:val="22"/>
          <w:szCs w:val="22"/>
        </w:rPr>
        <w:t xml:space="preserve"> Fica eleito o Foro </w:t>
      </w:r>
      <w:r>
        <w:rPr>
          <w:rFonts w:eastAsia="Tahoma" w:cs="Arial"/>
          <w:color w:val="auto"/>
          <w:sz w:val="22"/>
          <w:szCs w:val="22"/>
        </w:rPr>
        <w:t>da Comarca de Carapebus/Quissamã</w:t>
      </w:r>
      <w:r>
        <w:rPr>
          <w:color w:val="auto"/>
          <w:sz w:val="22"/>
          <w:szCs w:val="22"/>
        </w:rPr>
        <w:t xml:space="preserve"> para dirimir os litígios que decorrerem da execução deste Termo de Contrato que não puderem ser compostos pela conciliação, conforme </w:t>
      </w:r>
      <w:r>
        <w:fldChar w:fldCharType="begin"/>
      </w:r>
      <w:r>
        <w:rPr>
          <w:rStyle w:val="LinkdaInternet"/>
          <w:sz w:val="22"/>
          <w:szCs w:val="22"/>
          <w:color w:val="auto"/>
        </w:rPr>
        <w:instrText xml:space="preserve"> HYPERLINK "http://www.planalto.gov.br/ccivil_03/_ato2019-2022/2021/lei/L14133.htm" \l "art92§1"</w:instrText>
      </w:r>
      <w:r>
        <w:rPr>
          <w:rStyle w:val="LinkdaInternet"/>
          <w:sz w:val="22"/>
          <w:szCs w:val="22"/>
          <w:color w:val="auto"/>
        </w:rPr>
        <w:fldChar w:fldCharType="separate"/>
      </w:r>
      <w:r>
        <w:rPr>
          <w:rStyle w:val="LinkdaInternet"/>
          <w:color w:val="auto"/>
          <w:sz w:val="22"/>
          <w:szCs w:val="22"/>
        </w:rPr>
        <w:t>art. 92, §1º, da Lei nº 14.133/21.</w:t>
      </w:r>
      <w:r>
        <w:rPr>
          <w:rStyle w:val="LinkdaInternet"/>
          <w:sz w:val="22"/>
          <w:szCs w:val="22"/>
          <w:color w:val="auto"/>
        </w:rPr>
        <w:fldChar w:fldCharType="end"/>
      </w:r>
    </w:p>
    <w:p>
      <w:pPr>
        <w:pStyle w:val="Nivel2"/>
        <w:numPr>
          <w:ilvl w:val="0"/>
          <w:numId w:val="0"/>
        </w:numPr>
        <w:spacing w:lineRule="auto" w:line="360"/>
        <w:ind w:left="0" w:hanging="0"/>
        <w:rPr>
          <w:rStyle w:val="LinkdaInternet"/>
          <w:color w:val="auto"/>
          <w:sz w:val="22"/>
          <w:szCs w:val="22"/>
        </w:rPr>
      </w:pPr>
      <w:r>
        <w:rPr>
          <w:color w:val="auto"/>
          <w:sz w:val="22"/>
          <w:szCs w:val="22"/>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jc w:val="both"/>
        <w:rPr>
          <w:sz w:val="22"/>
          <w:szCs w:val="22"/>
        </w:rPr>
      </w:pPr>
      <w:r>
        <w:rPr>
          <w:rFonts w:eastAsia="Tahoma" w:cs="Arial" w:ascii="Arial" w:hAnsi="Arial"/>
          <w:sz w:val="22"/>
          <w:szCs w:val="22"/>
        </w:rPr>
        <w:tab/>
        <w:t xml:space="preserve">E por estarem justas e contratadas, AS PARTES assinam o presente Contrato em </w:t>
      </w:r>
      <w:r>
        <w:rPr>
          <w:rFonts w:eastAsia="Tahoma" w:cs="Arial" w:ascii="Arial" w:hAnsi="Arial"/>
          <w:color w:val="000000"/>
          <w:sz w:val="22"/>
          <w:szCs w:val="22"/>
        </w:rPr>
        <w:t>04 (quatro)</w:t>
      </w:r>
      <w:r>
        <w:rPr>
          <w:rFonts w:eastAsia="Tahoma" w:cs="Arial" w:ascii="Arial" w:hAnsi="Arial"/>
          <w:sz w:val="22"/>
          <w:szCs w:val="22"/>
        </w:rPr>
        <w:t xml:space="preserve"> vias de igual teor e efeito, perante as testemunhas abaixo assinadas.</w:t>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jc w:val="both"/>
        <w:rPr>
          <w:rFonts w:ascii="Arial" w:hAnsi="Arial" w:eastAsia="Tahoma" w:cs="Arial"/>
          <w:sz w:val="22"/>
          <w:szCs w:val="22"/>
        </w:rPr>
      </w:pPr>
      <w:r>
        <w:rPr>
          <w:rFonts w:eastAsia="Tahoma" w:cs="Arial" w:ascii="Arial" w:hAnsi="Arial"/>
          <w:sz w:val="22"/>
          <w:szCs w:val="22"/>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sz w:val="22"/>
          <w:szCs w:val="22"/>
        </w:rPr>
      </w:pPr>
      <w:r>
        <w:rPr>
          <w:rFonts w:eastAsia="Tahoma" w:cs="Arial" w:ascii="Arial" w:hAnsi="Arial"/>
          <w:sz w:val="22"/>
          <w:szCs w:val="22"/>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pPr>
      <w:r>
        <w:rPr>
          <w:rFonts w:eastAsia="Tahoma" w:cs="Arial" w:ascii="Arial" w:hAnsi="Arial"/>
          <w:sz w:val="22"/>
          <w:szCs w:val="22"/>
        </w:rPr>
        <w:t>Quissamã (RJ) ________ de ______________</w:t>
      </w:r>
      <w:r>
        <w:rPr>
          <w:rFonts w:eastAsia="Tahoma" w:cs="Arial" w:ascii="Arial" w:hAnsi="Arial"/>
          <w:sz w:val="22"/>
          <w:szCs w:val="22"/>
          <w:shd w:fill="auto" w:val="clear"/>
        </w:rPr>
        <w:t xml:space="preserve"> de 2026.</w:t>
      </w:r>
    </w:p>
    <w:p>
      <w:pPr>
        <w:pStyle w:val="Ttulo1"/>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sz w:val="22"/>
          <w:szCs w:val="22"/>
        </w:rPr>
      </w:pPr>
      <w:r>
        <w:rPr>
          <w:rFonts w:eastAsia="Tahoma" w:cs="Arial"/>
          <w:sz w:val="22"/>
          <w:szCs w:val="22"/>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sz w:val="22"/>
          <w:szCs w:val="22"/>
        </w:rPr>
      </w:pPr>
      <w:r>
        <w:rPr>
          <w:rFonts w:eastAsia="Tahoma" w:cs="Arial" w:ascii="Arial" w:hAnsi="Arial"/>
          <w:sz w:val="22"/>
          <w:szCs w:val="22"/>
        </w:rPr>
      </w:r>
    </w:p>
    <w:p>
      <w:pPr>
        <w:pStyle w:val="Ttulo1"/>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before="0" w:after="0"/>
        <w:rPr>
          <w:rFonts w:ascii="Arial" w:hAnsi="Arial" w:eastAsia="Tahoma" w:cs="Arial"/>
          <w:sz w:val="22"/>
          <w:szCs w:val="22"/>
        </w:rPr>
      </w:pPr>
      <w:r>
        <w:rPr>
          <w:rFonts w:eastAsia="Tahoma" w:cs="Arial"/>
          <w:sz w:val="22"/>
          <w:szCs w:val="22"/>
        </w:rPr>
        <w:t>CONTRATANTE:</w:t>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before="0" w:after="0"/>
        <w:rPr>
          <w:rFonts w:ascii="Arial" w:hAnsi="Arial" w:eastAsia="Tahoma" w:cs="Arial"/>
          <w:sz w:val="22"/>
          <w:szCs w:val="22"/>
        </w:rPr>
      </w:pPr>
      <w:r>
        <w:rPr>
          <w:rFonts w:eastAsia="Tahoma" w:cs="Arial" w:ascii="Arial" w:hAnsi="Arial"/>
          <w:sz w:val="22"/>
          <w:szCs w:val="22"/>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sz w:val="22"/>
          <w:szCs w:val="22"/>
        </w:rPr>
      </w:pPr>
      <w:r>
        <w:rPr>
          <w:rFonts w:eastAsia="Tahoma" w:cs="Arial" w:ascii="Arial" w:hAnsi="Arial"/>
          <w:sz w:val="22"/>
          <w:szCs w:val="22"/>
        </w:rPr>
        <mc:AlternateContent>
          <mc:Choice Requires="wps">
            <w:drawing>
              <wp:anchor behindDoc="0" distT="0" distB="236855" distL="0" distR="0" simplePos="0" locked="0" layoutInCell="0" allowOverlap="1" relativeHeight="24">
                <wp:simplePos x="0" y="0"/>
                <wp:positionH relativeFrom="column">
                  <wp:posOffset>44450</wp:posOffset>
                </wp:positionH>
                <wp:positionV relativeFrom="paragraph">
                  <wp:posOffset>139065</wp:posOffset>
                </wp:positionV>
                <wp:extent cx="3101340" cy="967740"/>
                <wp:effectExtent l="0" t="0" r="0" b="236855"/>
                <wp:wrapNone/>
                <wp:docPr id="1" name="Forma1"/>
                <a:graphic xmlns:a="http://schemas.openxmlformats.org/drawingml/2006/main">
                  <a:graphicData uri="http://schemas.microsoft.com/office/word/2010/wordprocessingShape">
                    <wps:wsp>
                      <wps:cNvSpPr/>
                      <wps:spPr>
                        <a:xfrm>
                          <a:off x="0" y="0"/>
                          <a:ext cx="3101400" cy="967680"/>
                        </a:xfrm>
                        <a:prstGeom prst="rect">
                          <a:avLst/>
                        </a:prstGeom>
                        <a:noFill/>
                        <a:ln w="0">
                          <a:noFill/>
                        </a:ln>
                      </wps:spPr>
                      <wps:style>
                        <a:lnRef idx="0"/>
                        <a:fillRef idx="0"/>
                        <a:effectRef idx="0"/>
                        <a:fontRef idx="minor"/>
                      </wps:style>
                      <wps:txbx>
                        <w:txbxContent>
                          <w:p>
                            <w:pPr>
                              <w:pStyle w:val="Contedodoquadro"/>
                              <w:overflowPunct w:val="true"/>
                              <w:bidi w:val="0"/>
                              <w:spacing w:lineRule="auto" w:line="240"/>
                              <w:ind w:left="0" w:right="0" w:hanging="0"/>
                              <w:jc w:val="center"/>
                              <w:rPr>
                                <w:color w:val="000000"/>
                              </w:rPr>
                            </w:pPr>
                            <w:r>
                              <w:rPr>
                                <w:rFonts w:eastAsia="Arial" w:cs="Arial" w:ascii="Arial" w:hAnsi="Arial"/>
                                <w:b w:val="false"/>
                                <w:i w:val="false"/>
                                <w:strike w:val="false"/>
                                <w:dstrike w:val="false"/>
                                <w:color w:val="000000"/>
                                <w:kern w:val="2"/>
                                <w:position w:val="0"/>
                                <w:sz w:val="24"/>
                                <w:sz w:val="24"/>
                                <w:szCs w:val="24"/>
                                <w:u w:val="none"/>
                                <w:vertAlign w:val="baseline"/>
                                <w:lang w:val="pt-BR" w:eastAsia="zh-CN" w:bidi="hi-IN"/>
                              </w:rPr>
                              <w:t xml:space="preserve">  </w:t>
                            </w:r>
                            <w:r>
                              <w:rPr>
                                <w:rFonts w:eastAsia="Arial" w:cs="Arial" w:ascii="Arial" w:hAnsi="Arial"/>
                                <w:b w:val="false"/>
                                <w:i w:val="false"/>
                                <w:strike w:val="false"/>
                                <w:dstrike w:val="false"/>
                                <w:color w:val="000000"/>
                                <w:kern w:val="2"/>
                                <w:position w:val="0"/>
                                <w:sz w:val="22"/>
                                <w:sz w:val="22"/>
                                <w:szCs w:val="24"/>
                                <w:u w:val="none"/>
                                <w:vertAlign w:val="baseline"/>
                                <w:lang w:val="pt-BR" w:eastAsia="zh-CN" w:bidi="hi-IN"/>
                              </w:rPr>
                              <w:t>MUNICÍPIO DE QUISSAMÃ</w:t>
                            </w:r>
                          </w:p>
                          <w:p>
                            <w:pPr>
                              <w:pStyle w:val="Contedodoquadro"/>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overflowPunct w:val="true"/>
                              <w:bidi w:val="0"/>
                              <w:spacing w:lineRule="auto" w:line="276"/>
                              <w:ind w:left="0" w:right="0" w:hanging="0"/>
                              <w:jc w:val="center"/>
                              <w:rPr>
                                <w:color w:val="000000"/>
                              </w:rPr>
                            </w:pPr>
                            <w:r>
                              <w:rPr>
                                <w:rFonts w:eastAsia="Arial" w:cs="Arial" w:ascii="Arial" w:hAnsi="Arial"/>
                                <w:b/>
                                <w:bCs/>
                                <w:i w:val="false"/>
                                <w:strike w:val="false"/>
                                <w:dstrike w:val="false"/>
                                <w:color w:val="000000"/>
                                <w:kern w:val="2"/>
                                <w:position w:val="0"/>
                                <w:sz w:val="22"/>
                                <w:sz w:val="22"/>
                                <w:szCs w:val="24"/>
                                <w:u w:val="none"/>
                                <w:vertAlign w:val="baseline"/>
                                <w:lang w:val="pt-BR" w:eastAsia="zh-CN" w:bidi="hi-IN"/>
                              </w:rPr>
                              <w:t xml:space="preserve">Arnaldo Gonçalves da Silva </w:t>
                            </w:r>
                          </w:p>
                          <w:p>
                            <w:pPr>
                              <w:pStyle w:val="Contedodoquadro"/>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overflowPunct w:val="true"/>
                              <w:bidi w:val="0"/>
                              <w:spacing w:lineRule="auto" w:line="276"/>
                              <w:ind w:left="0" w:right="0" w:hanging="0"/>
                              <w:jc w:val="center"/>
                              <w:rPr>
                                <w:color w:val="000000"/>
                              </w:rPr>
                            </w:pPr>
                            <w:r>
                              <w:rPr>
                                <w:rFonts w:eastAsia="Arial" w:cs="Arial" w:ascii="Arial" w:hAnsi="Arial"/>
                                <w:b/>
                                <w:bCs/>
                                <w:i w:val="false"/>
                                <w:strike w:val="false"/>
                                <w:dstrike w:val="false"/>
                                <w:color w:val="000000"/>
                                <w:kern w:val="2"/>
                                <w:position w:val="0"/>
                                <w:sz w:val="22"/>
                                <w:sz w:val="22"/>
                                <w:szCs w:val="24"/>
                                <w:u w:val="none"/>
                                <w:vertAlign w:val="baseline"/>
                                <w:lang w:val="pt-BR" w:eastAsia="zh-CN" w:bidi="hi-IN"/>
                              </w:rPr>
                              <w:t>de Queiros Matoso</w:t>
                            </w:r>
                          </w:p>
                          <w:p>
                            <w:pPr>
                              <w:pStyle w:val="Contedodoquadro"/>
                              <w:overflowPunct w:val="true"/>
                              <w:bidi w:val="0"/>
                              <w:spacing w:lineRule="auto" w:line="240"/>
                              <w:ind w:left="0" w:right="0" w:hanging="0"/>
                              <w:jc w:val="center"/>
                              <w:rPr>
                                <w:color w:val="000000"/>
                              </w:rPr>
                            </w:pPr>
                            <w:r>
                              <w:rPr>
                                <w:rFonts w:eastAsia="Arial" w:cs="Arial" w:ascii="Arial" w:hAnsi="Arial"/>
                                <w:b w:val="false"/>
                                <w:i w:val="false"/>
                                <w:strike w:val="false"/>
                                <w:dstrike w:val="false"/>
                                <w:color w:val="000000"/>
                                <w:kern w:val="2"/>
                                <w:position w:val="0"/>
                                <w:sz w:val="22"/>
                                <w:sz w:val="22"/>
                                <w:szCs w:val="24"/>
                                <w:u w:val="none"/>
                                <w:vertAlign w:val="baseline"/>
                                <w:lang w:val="pt-BR" w:eastAsia="zh-CN" w:bidi="hi-IN"/>
                              </w:rPr>
                              <w:t xml:space="preserve">Gestor do Fundo Municipal de </w:t>
                            </w:r>
                          </w:p>
                          <w:p>
                            <w:pPr>
                              <w:pStyle w:val="Contedodoquadro"/>
                              <w:overflowPunct w:val="true"/>
                              <w:bidi w:val="0"/>
                              <w:spacing w:lineRule="auto" w:line="240"/>
                              <w:ind w:left="0" w:right="0" w:hanging="0"/>
                              <w:jc w:val="center"/>
                              <w:rPr>
                                <w:color w:val="000000"/>
                              </w:rPr>
                            </w:pPr>
                            <w:r>
                              <w:rPr>
                                <w:rFonts w:eastAsia="Arial" w:cs="Arial" w:ascii="Arial" w:hAnsi="Arial"/>
                                <w:b w:val="false"/>
                                <w:i w:val="false"/>
                                <w:strike w:val="false"/>
                                <w:dstrike w:val="false"/>
                                <w:color w:val="000000"/>
                                <w:kern w:val="2"/>
                                <w:position w:val="0"/>
                                <w:sz w:val="22"/>
                                <w:sz w:val="22"/>
                                <w:szCs w:val="24"/>
                                <w:u w:val="none"/>
                                <w:vertAlign w:val="baseline"/>
                                <w:lang w:val="pt-BR" w:eastAsia="zh-CN" w:bidi="hi-IN"/>
                              </w:rPr>
                              <w:t>Desenvolvimento Econômico</w:t>
                            </w:r>
                          </w:p>
                          <w:p>
                            <w:pPr>
                              <w:pStyle w:val="Contedodoquadro"/>
                              <w:overflowPunct w:val="true"/>
                              <w:bidi w:val="0"/>
                              <w:spacing w:lineRule="auto" w:line="360" w:before="0" w:after="490"/>
                              <w:ind w:left="0" w:right="0" w:hanging="0"/>
                              <w:jc w:val="center"/>
                              <w:rPr>
                                <w:color w:val="000000"/>
                              </w:rPr>
                            </w:pPr>
                            <w:r>
                              <w:rPr>
                                <w:rFonts w:eastAsia="Arial" w:cs="Arial" w:ascii="Arial" w:hAnsi="Arial"/>
                                <w:b/>
                                <w:bCs/>
                                <w:i w:val="false"/>
                                <w:strike w:val="false"/>
                                <w:dstrike w:val="false"/>
                                <w:color w:val="000000"/>
                                <w:kern w:val="2"/>
                                <w:position w:val="0"/>
                                <w:sz w:val="24"/>
                                <w:sz w:val="24"/>
                                <w:szCs w:val="24"/>
                                <w:u w:val="none"/>
                                <w:vertAlign w:val="baseline"/>
                                <w:lang w:val="pt-BR" w:eastAsia="zh-CN" w:bidi="hi-IN"/>
                              </w:rPr>
                              <w:t xml:space="preserve">            </w:t>
                            </w:r>
                          </w:p>
                        </w:txbxContent>
                      </wps:txbx>
                      <wps:bodyPr lIns="0" rIns="0" tIns="0" bIns="0" anchor="t">
                        <a:noAutofit/>
                      </wps:bodyPr>
                    </wps:wsp>
                  </a:graphicData>
                </a:graphic>
              </wp:anchor>
            </w:drawing>
          </mc:Choice>
          <mc:Fallback>
            <w:pict>
              <v:rect id="shape_0" ID="Forma1" path="m0,0l-2147483645,0l-2147483645,-2147483646l0,-2147483646xe" stroked="f" o:allowincell="f" style="position:absolute;margin-left:3.5pt;margin-top:10.95pt;width:244.15pt;height:76.15pt;mso-wrap-style:square;v-text-anchor:top">
                <v:fill o:detectmouseclick="t" on="false"/>
                <v:stroke color="#3465a4" joinstyle="round" endcap="flat"/>
                <v:textbox>
                  <w:txbxContent>
                    <w:p>
                      <w:pPr>
                        <w:pStyle w:val="Contedodoquadro"/>
                        <w:overflowPunct w:val="true"/>
                        <w:bidi w:val="0"/>
                        <w:spacing w:lineRule="auto" w:line="240"/>
                        <w:ind w:left="0" w:right="0" w:hanging="0"/>
                        <w:jc w:val="center"/>
                        <w:rPr>
                          <w:color w:val="000000"/>
                        </w:rPr>
                      </w:pPr>
                      <w:r>
                        <w:rPr>
                          <w:rFonts w:eastAsia="Arial" w:cs="Arial" w:ascii="Arial" w:hAnsi="Arial"/>
                          <w:b w:val="false"/>
                          <w:i w:val="false"/>
                          <w:strike w:val="false"/>
                          <w:dstrike w:val="false"/>
                          <w:color w:val="000000"/>
                          <w:kern w:val="2"/>
                          <w:position w:val="0"/>
                          <w:sz w:val="24"/>
                          <w:sz w:val="24"/>
                          <w:szCs w:val="24"/>
                          <w:u w:val="none"/>
                          <w:vertAlign w:val="baseline"/>
                          <w:lang w:val="pt-BR" w:eastAsia="zh-CN" w:bidi="hi-IN"/>
                        </w:rPr>
                        <w:t xml:space="preserve">  </w:t>
                      </w:r>
                      <w:r>
                        <w:rPr>
                          <w:rFonts w:eastAsia="Arial" w:cs="Arial" w:ascii="Arial" w:hAnsi="Arial"/>
                          <w:b w:val="false"/>
                          <w:i w:val="false"/>
                          <w:strike w:val="false"/>
                          <w:dstrike w:val="false"/>
                          <w:color w:val="000000"/>
                          <w:kern w:val="2"/>
                          <w:position w:val="0"/>
                          <w:sz w:val="22"/>
                          <w:sz w:val="22"/>
                          <w:szCs w:val="24"/>
                          <w:u w:val="none"/>
                          <w:vertAlign w:val="baseline"/>
                          <w:lang w:val="pt-BR" w:eastAsia="zh-CN" w:bidi="hi-IN"/>
                        </w:rPr>
                        <w:t>MUNICÍPIO DE QUISSAMÃ</w:t>
                      </w:r>
                    </w:p>
                    <w:p>
                      <w:pPr>
                        <w:pStyle w:val="Contedodoquadro"/>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overflowPunct w:val="true"/>
                        <w:bidi w:val="0"/>
                        <w:spacing w:lineRule="auto" w:line="276"/>
                        <w:ind w:left="0" w:right="0" w:hanging="0"/>
                        <w:jc w:val="center"/>
                        <w:rPr>
                          <w:color w:val="000000"/>
                        </w:rPr>
                      </w:pPr>
                      <w:r>
                        <w:rPr>
                          <w:rFonts w:eastAsia="Arial" w:cs="Arial" w:ascii="Arial" w:hAnsi="Arial"/>
                          <w:b/>
                          <w:bCs/>
                          <w:i w:val="false"/>
                          <w:strike w:val="false"/>
                          <w:dstrike w:val="false"/>
                          <w:color w:val="000000"/>
                          <w:kern w:val="2"/>
                          <w:position w:val="0"/>
                          <w:sz w:val="22"/>
                          <w:sz w:val="22"/>
                          <w:szCs w:val="24"/>
                          <w:u w:val="none"/>
                          <w:vertAlign w:val="baseline"/>
                          <w:lang w:val="pt-BR" w:eastAsia="zh-CN" w:bidi="hi-IN"/>
                        </w:rPr>
                        <w:t xml:space="preserve">Arnaldo Gonçalves da Silva </w:t>
                      </w:r>
                    </w:p>
                    <w:p>
                      <w:pPr>
                        <w:pStyle w:val="Contedodoquadro"/>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overflowPunct w:val="true"/>
                        <w:bidi w:val="0"/>
                        <w:spacing w:lineRule="auto" w:line="276"/>
                        <w:ind w:left="0" w:right="0" w:hanging="0"/>
                        <w:jc w:val="center"/>
                        <w:rPr>
                          <w:color w:val="000000"/>
                        </w:rPr>
                      </w:pPr>
                      <w:r>
                        <w:rPr>
                          <w:rFonts w:eastAsia="Arial" w:cs="Arial" w:ascii="Arial" w:hAnsi="Arial"/>
                          <w:b/>
                          <w:bCs/>
                          <w:i w:val="false"/>
                          <w:strike w:val="false"/>
                          <w:dstrike w:val="false"/>
                          <w:color w:val="000000"/>
                          <w:kern w:val="2"/>
                          <w:position w:val="0"/>
                          <w:sz w:val="22"/>
                          <w:sz w:val="22"/>
                          <w:szCs w:val="24"/>
                          <w:u w:val="none"/>
                          <w:vertAlign w:val="baseline"/>
                          <w:lang w:val="pt-BR" w:eastAsia="zh-CN" w:bidi="hi-IN"/>
                        </w:rPr>
                        <w:t>de Queiros Matoso</w:t>
                      </w:r>
                    </w:p>
                    <w:p>
                      <w:pPr>
                        <w:pStyle w:val="Contedodoquadro"/>
                        <w:overflowPunct w:val="true"/>
                        <w:bidi w:val="0"/>
                        <w:spacing w:lineRule="auto" w:line="240"/>
                        <w:ind w:left="0" w:right="0" w:hanging="0"/>
                        <w:jc w:val="center"/>
                        <w:rPr>
                          <w:color w:val="000000"/>
                        </w:rPr>
                      </w:pPr>
                      <w:r>
                        <w:rPr>
                          <w:rFonts w:eastAsia="Arial" w:cs="Arial" w:ascii="Arial" w:hAnsi="Arial"/>
                          <w:b w:val="false"/>
                          <w:i w:val="false"/>
                          <w:strike w:val="false"/>
                          <w:dstrike w:val="false"/>
                          <w:color w:val="000000"/>
                          <w:kern w:val="2"/>
                          <w:position w:val="0"/>
                          <w:sz w:val="22"/>
                          <w:sz w:val="22"/>
                          <w:szCs w:val="24"/>
                          <w:u w:val="none"/>
                          <w:vertAlign w:val="baseline"/>
                          <w:lang w:val="pt-BR" w:eastAsia="zh-CN" w:bidi="hi-IN"/>
                        </w:rPr>
                        <w:t xml:space="preserve">Gestor do Fundo Municipal de </w:t>
                      </w:r>
                    </w:p>
                    <w:p>
                      <w:pPr>
                        <w:pStyle w:val="Contedodoquadro"/>
                        <w:overflowPunct w:val="true"/>
                        <w:bidi w:val="0"/>
                        <w:spacing w:lineRule="auto" w:line="240"/>
                        <w:ind w:left="0" w:right="0" w:hanging="0"/>
                        <w:jc w:val="center"/>
                        <w:rPr>
                          <w:color w:val="000000"/>
                        </w:rPr>
                      </w:pPr>
                      <w:r>
                        <w:rPr>
                          <w:rFonts w:eastAsia="Arial" w:cs="Arial" w:ascii="Arial" w:hAnsi="Arial"/>
                          <w:b w:val="false"/>
                          <w:i w:val="false"/>
                          <w:strike w:val="false"/>
                          <w:dstrike w:val="false"/>
                          <w:color w:val="000000"/>
                          <w:kern w:val="2"/>
                          <w:position w:val="0"/>
                          <w:sz w:val="22"/>
                          <w:sz w:val="22"/>
                          <w:szCs w:val="24"/>
                          <w:u w:val="none"/>
                          <w:vertAlign w:val="baseline"/>
                          <w:lang w:val="pt-BR" w:eastAsia="zh-CN" w:bidi="hi-IN"/>
                        </w:rPr>
                        <w:t>Desenvolvimento Econômico</w:t>
                      </w:r>
                    </w:p>
                    <w:p>
                      <w:pPr>
                        <w:pStyle w:val="Contedodoquadro"/>
                        <w:overflowPunct w:val="true"/>
                        <w:bidi w:val="0"/>
                        <w:spacing w:lineRule="auto" w:line="360" w:before="0" w:after="490"/>
                        <w:ind w:left="0" w:right="0" w:hanging="0"/>
                        <w:jc w:val="center"/>
                        <w:rPr>
                          <w:color w:val="000000"/>
                        </w:rPr>
                      </w:pPr>
                      <w:r>
                        <w:rPr>
                          <w:rFonts w:eastAsia="Arial" w:cs="Arial" w:ascii="Arial" w:hAnsi="Arial"/>
                          <w:b/>
                          <w:bCs/>
                          <w:i w:val="false"/>
                          <w:strike w:val="false"/>
                          <w:dstrike w:val="false"/>
                          <w:color w:val="000000"/>
                          <w:kern w:val="2"/>
                          <w:position w:val="0"/>
                          <w:sz w:val="24"/>
                          <w:sz w:val="24"/>
                          <w:szCs w:val="24"/>
                          <w:u w:val="none"/>
                          <w:vertAlign w:val="baseline"/>
                          <w:lang w:val="pt-BR" w:eastAsia="zh-CN" w:bidi="hi-IN"/>
                        </w:rPr>
                        <w:t xml:space="preserve">            </w:t>
                      </w:r>
                    </w:p>
                  </w:txbxContent>
                </v:textbox>
                <w10:wrap type="none"/>
              </v:rect>
            </w:pict>
          </mc:Fallback>
        </mc:AlternateContent>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sz w:val="22"/>
          <w:szCs w:val="22"/>
        </w:rPr>
      </w:pPr>
      <w:r>
        <w:rPr>
          <w:rFonts w:eastAsia="Tahoma" w:cs="Arial" w:ascii="Arial" w:hAnsi="Arial"/>
          <w:sz w:val="22"/>
          <w:szCs w:val="22"/>
        </w:rPr>
        <mc:AlternateContent>
          <mc:Choice Requires="wps">
            <w:drawing>
              <wp:anchor behindDoc="0" distT="0" distB="0" distL="0" distR="0" simplePos="0" locked="0" layoutInCell="0" allowOverlap="1" relativeHeight="22">
                <wp:simplePos x="0" y="0"/>
                <wp:positionH relativeFrom="column">
                  <wp:posOffset>3317875</wp:posOffset>
                </wp:positionH>
                <wp:positionV relativeFrom="paragraph">
                  <wp:posOffset>53340</wp:posOffset>
                </wp:positionV>
                <wp:extent cx="2726690" cy="660400"/>
                <wp:effectExtent l="0" t="0" r="0" b="0"/>
                <wp:wrapNone/>
                <wp:docPr id="3" name="Figura2"/>
                <a:graphic xmlns:a="http://schemas.openxmlformats.org/drawingml/2006/main">
                  <a:graphicData uri="http://schemas.microsoft.com/office/word/2010/wordprocessingShape">
                    <wps:wsp>
                      <wps:cNvSpPr/>
                      <wps:spPr>
                        <a:xfrm>
                          <a:off x="0" y="0"/>
                          <a:ext cx="2726640" cy="660240"/>
                        </a:xfrm>
                        <a:prstGeom prst="rect">
                          <a:avLst/>
                        </a:prstGeom>
                        <a:noFill/>
                        <a:ln w="0">
                          <a:noFill/>
                        </a:ln>
                      </wps:spPr>
                      <wps:style>
                        <a:lnRef idx="0"/>
                        <a:fillRef idx="0"/>
                        <a:effectRef idx="0"/>
                        <a:fontRef idx="minor"/>
                      </wps:style>
                      <wps:txbx>
                        <w:txbxContent>
                          <w:p>
                            <w:pPr>
                              <w:pStyle w:val="Contedodoquadro"/>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overflowPunct w:val="false"/>
                              <w:bidi w:val="0"/>
                              <w:jc w:val="center"/>
                              <w:rPr>
                                <w:color w:val="000000"/>
                              </w:rPr>
                            </w:pPr>
                            <w:r>
                              <w:rPr>
                                <w:rFonts w:eastAsia="Arial" w:cs="Arial" w:ascii="Arial" w:hAnsi="Arial"/>
                                <w:b w:val="false"/>
                                <w:i w:val="false"/>
                                <w:strike w:val="false"/>
                                <w:dstrike w:val="false"/>
                                <w:color w:val="000000"/>
                                <w:kern w:val="2"/>
                                <w:position w:val="0"/>
                                <w:sz w:val="22"/>
                                <w:sz w:val="22"/>
                                <w:szCs w:val="24"/>
                                <w:u w:val="none"/>
                                <w:vertAlign w:val="baseline"/>
                                <w:lang w:val="pt-BR" w:eastAsia="zh-CN" w:bidi="hi-IN"/>
                              </w:rPr>
                              <w:t>MUNICÍPIO DE QUISSAMÃ</w:t>
                            </w:r>
                          </w:p>
                          <w:p>
                            <w:pPr>
                              <w:pStyle w:val="Contedodoquadro"/>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overflowPunct w:val="false"/>
                              <w:bidi w:val="0"/>
                              <w:jc w:val="center"/>
                              <w:rPr>
                                <w:color w:val="000000"/>
                              </w:rPr>
                            </w:pPr>
                            <w:r>
                              <w:rPr>
                                <w:rFonts w:eastAsia="Arial" w:cs="Arial" w:ascii="Arial" w:hAnsi="Arial"/>
                                <w:b/>
                                <w:bCs/>
                                <w:i w:val="false"/>
                                <w:strike w:val="false"/>
                                <w:dstrike w:val="false"/>
                                <w:color w:val="000000"/>
                                <w:kern w:val="2"/>
                                <w:position w:val="0"/>
                                <w:sz w:val="22"/>
                                <w:sz w:val="22"/>
                                <w:szCs w:val="24"/>
                                <w:u w:val="none"/>
                                <w:vertAlign w:val="baseline"/>
                                <w:lang w:val="pt-BR" w:eastAsia="zh-CN" w:bidi="hi-IN"/>
                              </w:rPr>
                              <w:t>Márcio Fernandes da Silva</w:t>
                            </w:r>
                          </w:p>
                          <w:p>
                            <w:pPr>
                              <w:pStyle w:val="Contedodoquadro"/>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overflowPunct w:val="false"/>
                              <w:bidi w:val="0"/>
                              <w:jc w:val="center"/>
                              <w:rPr>
                                <w:color w:val="000000"/>
                              </w:rPr>
                            </w:pPr>
                            <w:r>
                              <w:rPr>
                                <w:rFonts w:eastAsia="Arial" w:cs="Arial" w:ascii="Arial" w:hAnsi="Arial"/>
                                <w:b w:val="false"/>
                                <w:i w:val="false"/>
                                <w:strike w:val="false"/>
                                <w:dstrike w:val="false"/>
                                <w:color w:val="000000"/>
                                <w:kern w:val="2"/>
                                <w:position w:val="0"/>
                                <w:sz w:val="24"/>
                                <w:sz w:val="24"/>
                                <w:szCs w:val="24"/>
                                <w:u w:val="none"/>
                                <w:vertAlign w:val="baseline"/>
                                <w:lang w:val="pt-BR" w:eastAsia="zh-CN" w:bidi="hi-IN"/>
                              </w:rPr>
                              <w:t xml:space="preserve">   </w:t>
                            </w:r>
                            <w:r>
                              <w:rPr>
                                <w:rFonts w:eastAsia="Arial" w:cs="Arial" w:ascii="Arial" w:hAnsi="Arial"/>
                                <w:b w:val="false"/>
                                <w:i w:val="false"/>
                                <w:strike w:val="false"/>
                                <w:dstrike w:val="false"/>
                                <w:color w:val="000000"/>
                                <w:kern w:val="2"/>
                                <w:position w:val="0"/>
                                <w:sz w:val="22"/>
                                <w:sz w:val="22"/>
                                <w:szCs w:val="24"/>
                                <w:u w:val="none"/>
                                <w:vertAlign w:val="baseline"/>
                                <w:lang w:val="pt-BR" w:eastAsia="zh-CN" w:bidi="hi-IN"/>
                              </w:rPr>
                              <w:t>Chefe de Gabinete do Prefeito</w:t>
                            </w:r>
                          </w:p>
                        </w:txbxContent>
                      </wps:txbx>
                      <wps:bodyPr lIns="0" rIns="0" tIns="0" bIns="0" anchor="t">
                        <a:noAutofit/>
                      </wps:bodyPr>
                    </wps:wsp>
                  </a:graphicData>
                </a:graphic>
              </wp:anchor>
            </w:drawing>
          </mc:Choice>
          <mc:Fallback>
            <w:pict>
              <v:rect id="shape_0" ID="Figura2" path="m0,0l-2147483645,0l-2147483645,-2147483646l0,-2147483646xe" stroked="f" o:allowincell="f" style="position:absolute;margin-left:261.25pt;margin-top:4.2pt;width:214.65pt;height:51.95pt;mso-wrap-style:square;v-text-anchor:top">
                <v:fill o:detectmouseclick="t" on="false"/>
                <v:stroke color="#3465a4" joinstyle="round" endcap="flat"/>
                <v:textbox>
                  <w:txbxContent>
                    <w:p>
                      <w:pPr>
                        <w:pStyle w:val="Contedodoquadro"/>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overflowPunct w:val="false"/>
                        <w:bidi w:val="0"/>
                        <w:jc w:val="center"/>
                        <w:rPr>
                          <w:color w:val="000000"/>
                        </w:rPr>
                      </w:pPr>
                      <w:r>
                        <w:rPr>
                          <w:rFonts w:eastAsia="Arial" w:cs="Arial" w:ascii="Arial" w:hAnsi="Arial"/>
                          <w:b w:val="false"/>
                          <w:i w:val="false"/>
                          <w:strike w:val="false"/>
                          <w:dstrike w:val="false"/>
                          <w:color w:val="000000"/>
                          <w:kern w:val="2"/>
                          <w:position w:val="0"/>
                          <w:sz w:val="22"/>
                          <w:sz w:val="22"/>
                          <w:szCs w:val="24"/>
                          <w:u w:val="none"/>
                          <w:vertAlign w:val="baseline"/>
                          <w:lang w:val="pt-BR" w:eastAsia="zh-CN" w:bidi="hi-IN"/>
                        </w:rPr>
                        <w:t>MUNICÍPIO DE QUISSAMÃ</w:t>
                      </w:r>
                    </w:p>
                    <w:p>
                      <w:pPr>
                        <w:pStyle w:val="Contedodoquadro"/>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overflowPunct w:val="false"/>
                        <w:bidi w:val="0"/>
                        <w:jc w:val="center"/>
                        <w:rPr>
                          <w:color w:val="000000"/>
                        </w:rPr>
                      </w:pPr>
                      <w:r>
                        <w:rPr>
                          <w:rFonts w:eastAsia="Arial" w:cs="Arial" w:ascii="Arial" w:hAnsi="Arial"/>
                          <w:b/>
                          <w:bCs/>
                          <w:i w:val="false"/>
                          <w:strike w:val="false"/>
                          <w:dstrike w:val="false"/>
                          <w:color w:val="000000"/>
                          <w:kern w:val="2"/>
                          <w:position w:val="0"/>
                          <w:sz w:val="22"/>
                          <w:sz w:val="22"/>
                          <w:szCs w:val="24"/>
                          <w:u w:val="none"/>
                          <w:vertAlign w:val="baseline"/>
                          <w:lang w:val="pt-BR" w:eastAsia="zh-CN" w:bidi="hi-IN"/>
                        </w:rPr>
                        <w:t>Márcio Fernandes da Silva</w:t>
                      </w:r>
                    </w:p>
                    <w:p>
                      <w:pPr>
                        <w:pStyle w:val="Contedodoquadro"/>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overflowPunct w:val="false"/>
                        <w:bidi w:val="0"/>
                        <w:jc w:val="center"/>
                        <w:rPr>
                          <w:color w:val="000000"/>
                        </w:rPr>
                      </w:pPr>
                      <w:r>
                        <w:rPr>
                          <w:rFonts w:eastAsia="Arial" w:cs="Arial" w:ascii="Arial" w:hAnsi="Arial"/>
                          <w:b w:val="false"/>
                          <w:i w:val="false"/>
                          <w:strike w:val="false"/>
                          <w:dstrike w:val="false"/>
                          <w:color w:val="000000"/>
                          <w:kern w:val="2"/>
                          <w:position w:val="0"/>
                          <w:sz w:val="24"/>
                          <w:sz w:val="24"/>
                          <w:szCs w:val="24"/>
                          <w:u w:val="none"/>
                          <w:vertAlign w:val="baseline"/>
                          <w:lang w:val="pt-BR" w:eastAsia="zh-CN" w:bidi="hi-IN"/>
                        </w:rPr>
                        <w:t xml:space="preserve">   </w:t>
                      </w:r>
                      <w:r>
                        <w:rPr>
                          <w:rFonts w:eastAsia="Arial" w:cs="Arial" w:ascii="Arial" w:hAnsi="Arial"/>
                          <w:b w:val="false"/>
                          <w:i w:val="false"/>
                          <w:strike w:val="false"/>
                          <w:dstrike w:val="false"/>
                          <w:color w:val="000000"/>
                          <w:kern w:val="2"/>
                          <w:position w:val="0"/>
                          <w:sz w:val="22"/>
                          <w:sz w:val="22"/>
                          <w:szCs w:val="24"/>
                          <w:u w:val="none"/>
                          <w:vertAlign w:val="baseline"/>
                          <w:lang w:val="pt-BR" w:eastAsia="zh-CN" w:bidi="hi-IN"/>
                        </w:rPr>
                        <w:t>Chefe de Gabinete do Prefeito</w:t>
                      </w:r>
                    </w:p>
                  </w:txbxContent>
                </v:textbox>
                <w10:wrap type="none"/>
              </v:rect>
            </w:pict>
          </mc:Fallback>
        </mc:AlternateContent>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sz w:val="22"/>
          <w:szCs w:val="22"/>
          <w:shd w:fill="auto" w:val="clear"/>
        </w:rPr>
      </w:pPr>
      <w:r>
        <w:rPr>
          <w:rFonts w:eastAsia="Tahoma" w:cs="Arial" w:ascii="Arial" w:hAnsi="Arial"/>
          <w:sz w:val="22"/>
          <w:szCs w:val="22"/>
          <w:shd w:fill="auto" w:val="clear"/>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sz w:val="22"/>
          <w:szCs w:val="22"/>
          <w:shd w:fill="auto" w:val="clear"/>
        </w:rPr>
      </w:pPr>
      <w:r>
        <w:rPr>
          <w:rFonts w:eastAsia="Tahoma" w:cs="Arial" w:ascii="Arial" w:hAnsi="Arial"/>
          <w:sz w:val="22"/>
          <w:szCs w:val="22"/>
          <w:shd w:fill="auto" w:val="clear"/>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sz w:val="22"/>
          <w:szCs w:val="22"/>
          <w:shd w:fill="auto" w:val="clear"/>
        </w:rPr>
      </w:pPr>
      <w:r>
        <w:rPr>
          <w:rFonts w:eastAsia="Tahoma" w:cs="Arial" w:ascii="Arial" w:hAnsi="Arial"/>
          <w:sz w:val="22"/>
          <w:szCs w:val="22"/>
          <w:shd w:fill="auto" w:val="clear"/>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sz w:val="22"/>
          <w:szCs w:val="22"/>
          <w:shd w:fill="auto" w:val="clear"/>
        </w:rPr>
      </w:pPr>
      <w:r>
        <w:rPr>
          <w:rFonts w:eastAsia="Tahoma" w:cs="Arial" w:ascii="Arial" w:hAnsi="Arial"/>
          <w:sz w:val="22"/>
          <w:szCs w:val="22"/>
          <w:shd w:fill="auto" w:val="clear"/>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sz w:val="22"/>
          <w:szCs w:val="22"/>
          <w:shd w:fill="auto" w:val="clear"/>
        </w:rPr>
      </w:pPr>
      <w:r>
        <w:rPr>
          <w:rFonts w:eastAsia="Tahoma" w:cs="Arial" w:ascii="Arial" w:hAnsi="Arial"/>
          <w:sz w:val="22"/>
          <w:szCs w:val="22"/>
          <w:shd w:fill="auto" w:val="clear"/>
        </w:rPr>
      </w:r>
    </w:p>
    <w:p>
      <w:pPr>
        <w:pStyle w:val="Ttulo1"/>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sz w:val="22"/>
          <w:szCs w:val="22"/>
          <w:shd w:fill="auto" w:val="clear"/>
        </w:rPr>
      </w:pPr>
      <w:r>
        <w:rPr>
          <w:rFonts w:eastAsia="Tahoma" w:cs="Arial"/>
          <w:sz w:val="22"/>
          <w:szCs w:val="22"/>
          <w:shd w:fill="auto" w:val="clear"/>
        </w:rPr>
      </w:r>
    </w:p>
    <w:p>
      <w:pPr>
        <w:pStyle w:val="Ttulo1"/>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sz w:val="22"/>
          <w:szCs w:val="22"/>
          <w:shd w:fill="auto" w:val="clear"/>
        </w:rPr>
      </w:pPr>
      <w:r>
        <w:rPr>
          <w:rFonts w:eastAsia="Tahoma" w:cs="Arial"/>
          <w:sz w:val="22"/>
          <w:szCs w:val="22"/>
          <w:shd w:fill="auto" w:val="clear"/>
        </w:rPr>
        <w:t>CONTRATADA:</w:t>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sz w:val="22"/>
          <w:szCs w:val="22"/>
          <w:shd w:fill="auto" w:val="clear"/>
        </w:rPr>
      </w:pPr>
      <w:r>
        <w:rPr>
          <w:rFonts w:eastAsia="Tahoma" w:cs="Arial" w:ascii="Arial" w:hAnsi="Arial"/>
          <w:sz w:val="22"/>
          <w:szCs w:val="22"/>
          <w:shd w:fill="auto" w:val="clear"/>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sz w:val="22"/>
          <w:szCs w:val="22"/>
          <w:shd w:fill="auto" w:val="clear"/>
        </w:rPr>
      </w:pPr>
      <w:r>
        <w:rPr>
          <w:rFonts w:eastAsia="Tahoma" w:cs="Arial" w:ascii="Arial" w:hAnsi="Arial"/>
          <w:sz w:val="22"/>
          <w:szCs w:val="22"/>
          <w:shd w:fill="auto" w:val="clear"/>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b/>
          <w:b/>
          <w:sz w:val="22"/>
          <w:szCs w:val="22"/>
          <w:shd w:fill="auto" w:val="clear"/>
        </w:rPr>
      </w:pPr>
      <w:r>
        <w:rPr>
          <w:rFonts w:eastAsia="Tahoma" w:cs="Arial" w:ascii="Arial" w:hAnsi="Arial"/>
          <w:b/>
          <w:sz w:val="22"/>
          <w:szCs w:val="22"/>
          <w:shd w:fill="auto" w:val="clear"/>
        </w:rPr>
        <w:t>________________________</w:t>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b/>
          <w:b/>
          <w:bCs/>
          <w:sz w:val="22"/>
          <w:szCs w:val="22"/>
          <w:shd w:fill="auto" w:val="clear"/>
        </w:rPr>
      </w:pPr>
      <w:r>
        <w:rPr>
          <w:rFonts w:eastAsia="Tahoma" w:cs="Arial" w:ascii="Arial" w:hAnsi="Arial"/>
          <w:b/>
          <w:bCs/>
          <w:sz w:val="22"/>
          <w:szCs w:val="22"/>
          <w:shd w:fill="auto" w:val="clear"/>
        </w:rPr>
        <w:t>CNPJ: _________________</w:t>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pPr>
      <w:r>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pPr>
      <w:r>
        <w:rPr>
          <w:rFonts w:eastAsia="Tahoma" w:cs="Arial" w:ascii="Arial" w:hAnsi="Arial"/>
          <w:sz w:val="22"/>
          <w:szCs w:val="22"/>
        </w:rPr>
        <w:t>Nome do representant</w:t>
      </w:r>
      <w:r>
        <w:rPr>
          <w:rFonts w:eastAsia="Tahoma" w:cs="Arial" w:ascii="Arial" w:hAnsi="Arial"/>
          <w:color w:val="000000"/>
          <w:sz w:val="22"/>
          <w:szCs w:val="22"/>
          <w:shd w:fill="auto" w:val="clear"/>
        </w:rPr>
        <w:t>e:________________________________</w:t>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color w:val="000000"/>
          <w:sz w:val="22"/>
          <w:szCs w:val="22"/>
          <w:shd w:fill="auto" w:val="clear"/>
        </w:rPr>
      </w:pPr>
      <w:r>
        <w:rPr>
          <w:rFonts w:eastAsia="Tahoma" w:cs="Arial" w:ascii="Arial" w:hAnsi="Arial"/>
          <w:color w:val="000000"/>
          <w:sz w:val="22"/>
          <w:szCs w:val="22"/>
          <w:shd w:fill="auto" w:val="clear"/>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color w:val="000000"/>
          <w:sz w:val="22"/>
          <w:szCs w:val="22"/>
          <w:shd w:fill="auto" w:val="clear"/>
        </w:rPr>
      </w:pPr>
      <w:r>
        <w:rPr>
          <w:rFonts w:eastAsia="Tahoma" w:cs="Arial" w:ascii="Arial" w:hAnsi="Arial"/>
          <w:color w:val="000000"/>
          <w:sz w:val="22"/>
          <w:szCs w:val="22"/>
          <w:shd w:fill="auto" w:val="clear"/>
        </w:rPr>
        <w:t xml:space="preserve">CPF do representante: ____________________  </w:t>
        <w:tab/>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Tahoma" w:cs="Arial"/>
          <w:b/>
          <w:b/>
          <w:color w:val="000000"/>
          <w:sz w:val="22"/>
          <w:szCs w:val="22"/>
          <w:shd w:fill="auto" w:val="clear"/>
        </w:rPr>
      </w:pPr>
      <w:r>
        <w:rPr>
          <w:rFonts w:eastAsia="Tahoma" w:cs="Arial" w:ascii="Arial" w:hAnsi="Arial"/>
          <w:b/>
          <w:color w:val="000000"/>
          <w:sz w:val="22"/>
          <w:szCs w:val="22"/>
          <w:shd w:fill="auto" w:val="clear"/>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Tahoma" w:cs="Arial"/>
          <w:b/>
          <w:b/>
          <w:color w:val="000000"/>
          <w:sz w:val="22"/>
          <w:szCs w:val="22"/>
          <w:shd w:fill="auto" w:val="clear"/>
        </w:rPr>
      </w:pPr>
      <w:r>
        <w:rPr>
          <w:rFonts w:eastAsia="Tahoma" w:cs="Arial" w:ascii="Arial" w:hAnsi="Arial"/>
          <w:b/>
          <w:color w:val="000000"/>
          <w:sz w:val="22"/>
          <w:szCs w:val="22"/>
          <w:shd w:fill="auto" w:val="clear"/>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Tahoma" w:cs="Arial"/>
          <w:b/>
          <w:b/>
          <w:color w:val="000000"/>
          <w:sz w:val="22"/>
          <w:szCs w:val="22"/>
          <w:shd w:fill="auto" w:val="clear"/>
        </w:rPr>
      </w:pPr>
      <w:r>
        <w:rPr>
          <w:rFonts w:eastAsia="Tahoma" w:cs="Arial" w:ascii="Arial" w:hAnsi="Arial"/>
          <w:b/>
          <w:color w:val="000000"/>
          <w:sz w:val="22"/>
          <w:szCs w:val="22"/>
          <w:shd w:fill="auto" w:val="clear"/>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Tahoma" w:cs="Arial"/>
          <w:b/>
          <w:b/>
          <w:color w:val="000000"/>
          <w:sz w:val="22"/>
          <w:szCs w:val="22"/>
          <w:shd w:fill="auto" w:val="clear"/>
        </w:rPr>
      </w:pPr>
      <w:r>
        <w:rPr>
          <w:rFonts w:eastAsia="Tahoma" w:cs="Arial" w:ascii="Arial" w:hAnsi="Arial"/>
          <w:b/>
          <w:color w:val="000000"/>
          <w:sz w:val="22"/>
          <w:szCs w:val="22"/>
          <w:shd w:fill="auto" w:val="clear"/>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Tahoma" w:cs="Arial"/>
          <w:b/>
          <w:b/>
          <w:color w:val="000000"/>
          <w:sz w:val="22"/>
          <w:szCs w:val="22"/>
          <w:shd w:fill="auto" w:val="clear"/>
        </w:rPr>
      </w:pPr>
      <w:r>
        <w:rPr>
          <w:rFonts w:eastAsia="Tahoma" w:cs="Arial" w:ascii="Arial" w:hAnsi="Arial"/>
          <w:b/>
          <w:color w:val="000000"/>
          <w:sz w:val="22"/>
          <w:szCs w:val="22"/>
          <w:shd w:fill="auto" w:val="clear"/>
        </w:rPr>
        <w:t>TESTEMUNHAS:</w:t>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Tahoma" w:cs="Arial"/>
          <w:b/>
          <w:b/>
          <w:color w:val="000000"/>
          <w:sz w:val="22"/>
          <w:szCs w:val="22"/>
          <w:shd w:fill="auto" w:val="clear"/>
        </w:rPr>
      </w:pPr>
      <w:r>
        <w:rPr>
          <w:rFonts w:eastAsia="Tahoma" w:cs="Arial" w:ascii="Arial" w:hAnsi="Arial"/>
          <w:b/>
          <w:color w:val="000000"/>
          <w:sz w:val="22"/>
          <w:szCs w:val="22"/>
          <w:shd w:fill="auto" w:val="clear"/>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Tahoma" w:cs="Arial"/>
          <w:color w:val="000000"/>
          <w:sz w:val="22"/>
          <w:szCs w:val="22"/>
          <w:shd w:fill="auto" w:val="clear"/>
        </w:rPr>
      </w:pPr>
      <w:r>
        <w:rPr>
          <w:rFonts w:eastAsia="Tahoma" w:cs="Arial" w:ascii="Arial" w:hAnsi="Arial"/>
          <w:color w:val="000000"/>
          <w:sz w:val="22"/>
          <w:szCs w:val="22"/>
          <w:shd w:fill="auto" w:val="clear"/>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Tahoma" w:cs="Arial"/>
          <w:color w:val="000000"/>
          <w:sz w:val="22"/>
          <w:szCs w:val="22"/>
          <w:shd w:fill="auto" w:val="clear"/>
        </w:rPr>
      </w:pPr>
      <w:r>
        <w:rPr>
          <w:rFonts w:eastAsia="Tahoma" w:cs="Arial" w:ascii="Arial" w:hAnsi="Arial"/>
          <w:color w:val="000000"/>
          <w:sz w:val="22"/>
          <w:szCs w:val="22"/>
          <w:shd w:fill="auto" w:val="clear"/>
        </w:rPr>
        <w:t>1) NOME: _________________________________________</w:t>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Tahoma" w:cs="Arial"/>
          <w:color w:val="000000"/>
          <w:sz w:val="22"/>
          <w:szCs w:val="22"/>
          <w:shd w:fill="auto" w:val="clear"/>
        </w:rPr>
      </w:pPr>
      <w:r>
        <w:rPr>
          <w:rFonts w:eastAsia="Tahoma" w:cs="Arial" w:ascii="Arial" w:hAnsi="Arial"/>
          <w:color w:val="000000"/>
          <w:sz w:val="22"/>
          <w:szCs w:val="22"/>
          <w:shd w:fill="auto" w:val="clear"/>
        </w:rPr>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Tahoma" w:cs="Arial"/>
          <w:color w:val="000000"/>
          <w:sz w:val="22"/>
          <w:szCs w:val="22"/>
          <w:shd w:fill="auto" w:val="clear"/>
        </w:rPr>
      </w:pPr>
      <w:r>
        <w:rPr>
          <w:rFonts w:eastAsia="Tahoma" w:cs="Arial" w:ascii="Arial" w:hAnsi="Arial"/>
          <w:color w:val="000000"/>
          <w:sz w:val="22"/>
          <w:szCs w:val="22"/>
          <w:shd w:fill="auto" w:val="clear"/>
        </w:rPr>
        <w:t>CPF: ______________________</w:t>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cs="Arial"/>
          <w:color w:val="000000"/>
          <w:sz w:val="22"/>
          <w:szCs w:val="22"/>
          <w:shd w:fill="auto" w:val="clear"/>
        </w:rPr>
      </w:pPr>
      <w:r>
        <w:rPr>
          <w:rFonts w:cs="Arial" w:ascii="Arial" w:hAnsi="Arial"/>
          <w:color w:val="000000"/>
          <w:sz w:val="22"/>
          <w:szCs w:val="22"/>
          <w:shd w:fill="auto" w:val="clear"/>
        </w:rPr>
      </w:r>
    </w:p>
    <w:p>
      <w:pPr>
        <w:pStyle w:val="Normal"/>
        <w:widowContro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before="0" w:after="0"/>
        <w:ind w:left="0" w:right="-283" w:hanging="0"/>
        <w:jc w:val="both"/>
        <w:rPr>
          <w:rFonts w:ascii="Arial" w:hAnsi="Arial" w:eastAsia="Tahoma" w:cs="Arial"/>
          <w:color w:val="000000"/>
          <w:sz w:val="22"/>
          <w:szCs w:val="22"/>
          <w:shd w:fill="auto" w:val="clear"/>
        </w:rPr>
      </w:pPr>
      <w:r>
        <w:rPr>
          <w:rFonts w:eastAsia="Tahoma" w:cs="Arial" w:ascii="Arial" w:hAnsi="Arial"/>
          <w:color w:val="000000"/>
          <w:sz w:val="22"/>
          <w:szCs w:val="22"/>
          <w:shd w:fill="auto" w:val="clear"/>
        </w:rPr>
      </w:r>
    </w:p>
    <w:p>
      <w:pPr>
        <w:pStyle w:val="Normal"/>
        <w:widowContro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before="0" w:after="0"/>
        <w:ind w:left="0" w:right="-283" w:hanging="0"/>
        <w:jc w:val="both"/>
        <w:rPr>
          <w:rFonts w:ascii="Arial" w:hAnsi="Arial" w:eastAsia="Tahoma" w:cs="Arial"/>
          <w:color w:val="000000"/>
          <w:sz w:val="22"/>
          <w:szCs w:val="22"/>
          <w:shd w:fill="auto" w:val="clear"/>
        </w:rPr>
      </w:pPr>
      <w:r>
        <w:rPr>
          <w:rFonts w:eastAsia="Tahoma" w:cs="Arial" w:ascii="Arial" w:hAnsi="Arial"/>
          <w:color w:val="000000"/>
          <w:sz w:val="22"/>
          <w:szCs w:val="22"/>
          <w:shd w:fill="auto" w:val="clear"/>
        </w:rPr>
        <w:t>2) NOME: _________________________________________</w:t>
      </w:r>
    </w:p>
    <w:p>
      <w:pPr>
        <w:pStyle w:val="Normal"/>
        <w:widowContro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before="0" w:after="0"/>
        <w:ind w:left="0" w:right="-283" w:hanging="0"/>
        <w:jc w:val="both"/>
        <w:rPr>
          <w:rFonts w:ascii="Arial" w:hAnsi="Arial" w:eastAsia="Tahoma" w:cs="Arial"/>
          <w:color w:val="000000"/>
          <w:sz w:val="22"/>
          <w:szCs w:val="22"/>
          <w:shd w:fill="auto" w:val="clear"/>
        </w:rPr>
      </w:pPr>
      <w:r>
        <w:rPr>
          <w:rFonts w:eastAsia="Tahoma" w:cs="Arial" w:ascii="Arial" w:hAnsi="Arial"/>
          <w:color w:val="000000"/>
          <w:sz w:val="22"/>
          <w:szCs w:val="22"/>
          <w:shd w:fill="auto" w:val="clear"/>
        </w:rPr>
      </w:r>
    </w:p>
    <w:p>
      <w:pPr>
        <w:pStyle w:val="Normal"/>
        <w:widowContro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before="0" w:after="0"/>
        <w:ind w:left="0" w:right="-283" w:hanging="0"/>
        <w:jc w:val="both"/>
        <w:rPr>
          <w:rFonts w:ascii="Arial" w:hAnsi="Arial" w:eastAsia="Tahoma" w:cs="Arial"/>
          <w:color w:val="000000"/>
          <w:sz w:val="22"/>
          <w:szCs w:val="22"/>
          <w:shd w:fill="auto" w:val="clear"/>
        </w:rPr>
      </w:pPr>
      <w:r>
        <w:rPr>
          <w:rFonts w:eastAsia="Tahoma" w:cs="Arial" w:ascii="Arial" w:hAnsi="Arial"/>
          <w:color w:val="000000"/>
          <w:sz w:val="22"/>
          <w:szCs w:val="22"/>
          <w:shd w:fill="auto" w:val="clear"/>
        </w:rPr>
        <w:t>CPF: ______________________</w:t>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cs="Arial"/>
          <w:color w:val="000000"/>
          <w:sz w:val="22"/>
          <w:szCs w:val="22"/>
          <w:shd w:fill="auto" w:val="clear"/>
        </w:rPr>
      </w:pPr>
      <w:r>
        <w:rPr>
          <w:rFonts w:cs="Arial" w:ascii="Arial" w:hAnsi="Arial"/>
          <w:color w:val="000000"/>
          <w:sz w:val="22"/>
          <w:szCs w:val="22"/>
          <w:shd w:fill="auto" w:val="clear"/>
        </w:rPr>
      </w:r>
    </w:p>
    <w:p>
      <w:pPr>
        <w:pStyle w:val="Normal"/>
        <w:widowControl w:val="false"/>
        <w:jc w:val="left"/>
        <w:rPr>
          <w:rFonts w:ascii="Arial" w:hAnsi="Arial" w:eastAsia="Courier New" w:cs="Arial"/>
          <w:b/>
          <w:b/>
          <w:bCs/>
          <w:i w:val="false"/>
          <w:i w:val="false"/>
          <w:iCs w:val="false"/>
          <w:color w:val="000000"/>
          <w:kern w:val="2"/>
          <w:sz w:val="22"/>
          <w:szCs w:val="22"/>
          <w:shd w:fill="auto" w:val="clear"/>
          <w:lang w:val="pt-BR" w:eastAsia="zh-CN" w:bidi="ar-SA"/>
        </w:rPr>
      </w:pPr>
      <w:r>
        <w:rPr>
          <w:rFonts w:eastAsia="Courier New" w:cs="Arial" w:ascii="Arial" w:hAnsi="Arial"/>
          <w:b/>
          <w:bCs/>
          <w:i w:val="false"/>
          <w:iCs w:val="false"/>
          <w:color w:val="000000"/>
          <w:kern w:val="2"/>
          <w:sz w:val="22"/>
          <w:szCs w:val="22"/>
          <w:shd w:fill="auto" w:val="clear"/>
          <w:lang w:val="pt-BR" w:eastAsia="zh-CN" w:bidi="ar-SA"/>
        </w:rPr>
      </w:r>
    </w:p>
    <w:p>
      <w:pPr>
        <w:pStyle w:val="Normal"/>
        <w:widowControl w:val="false"/>
        <w:jc w:val="left"/>
        <w:rPr>
          <w:rFonts w:ascii="Arial" w:hAnsi="Arial" w:eastAsia="Courier New" w:cs="Arial"/>
          <w:b/>
          <w:b/>
          <w:bCs/>
          <w:i w:val="false"/>
          <w:i w:val="false"/>
          <w:iCs w:val="false"/>
          <w:color w:val="000000"/>
          <w:kern w:val="2"/>
          <w:sz w:val="22"/>
          <w:szCs w:val="22"/>
          <w:shd w:fill="auto" w:val="clear"/>
          <w:lang w:val="pt-BR" w:eastAsia="zh-CN" w:bidi="ar-SA"/>
        </w:rPr>
      </w:pPr>
      <w:r>
        <w:rPr>
          <w:rFonts w:eastAsia="Courier New" w:cs="Arial" w:ascii="Arial" w:hAnsi="Arial"/>
          <w:b/>
          <w:bCs/>
          <w:i w:val="false"/>
          <w:iCs w:val="false"/>
          <w:color w:val="000000"/>
          <w:kern w:val="2"/>
          <w:sz w:val="22"/>
          <w:szCs w:val="22"/>
          <w:shd w:fill="auto" w:val="clear"/>
          <w:lang w:val="pt-BR" w:eastAsia="zh-CN" w:bidi="ar-SA"/>
        </w:rPr>
      </w:r>
    </w:p>
    <w:p>
      <w:pPr>
        <w:pStyle w:val="Normal"/>
        <w:widowControl w:val="false"/>
        <w:jc w:val="left"/>
        <w:rPr>
          <w:rFonts w:ascii="Arial" w:hAnsi="Arial" w:eastAsia="Courier New" w:cs="Arial"/>
          <w:b/>
          <w:b/>
          <w:bCs/>
          <w:i w:val="false"/>
          <w:i w:val="false"/>
          <w:iCs w:val="false"/>
          <w:color w:val="000000"/>
          <w:kern w:val="2"/>
          <w:sz w:val="22"/>
          <w:szCs w:val="22"/>
          <w:shd w:fill="auto" w:val="clear"/>
          <w:lang w:val="pt-BR" w:eastAsia="zh-CN" w:bidi="ar-SA"/>
        </w:rPr>
      </w:pPr>
      <w:r>
        <w:rPr>
          <w:rFonts w:eastAsia="Courier New" w:cs="Arial" w:ascii="Arial" w:hAnsi="Arial"/>
          <w:b/>
          <w:bCs/>
          <w:i w:val="false"/>
          <w:iCs w:val="false"/>
          <w:color w:val="000000"/>
          <w:kern w:val="2"/>
          <w:sz w:val="22"/>
          <w:szCs w:val="22"/>
          <w:shd w:fill="auto" w:val="clear"/>
          <w:lang w:val="pt-BR" w:eastAsia="zh-CN" w:bidi="ar-SA"/>
        </w:rPr>
      </w:r>
    </w:p>
    <w:p>
      <w:pPr>
        <w:pStyle w:val="Normal"/>
        <w:widowControl w:val="false"/>
        <w:jc w:val="left"/>
        <w:rPr>
          <w:rFonts w:ascii="Arial" w:hAnsi="Arial" w:eastAsia="Courier New" w:cs="Arial"/>
          <w:b/>
          <w:b/>
          <w:bCs/>
          <w:i w:val="false"/>
          <w:i w:val="false"/>
          <w:iCs w:val="false"/>
          <w:color w:val="000000"/>
          <w:kern w:val="2"/>
          <w:sz w:val="22"/>
          <w:szCs w:val="22"/>
          <w:shd w:fill="auto" w:val="clear"/>
          <w:lang w:val="pt-BR" w:eastAsia="zh-CN" w:bidi="ar-SA"/>
        </w:rPr>
      </w:pPr>
      <w:r>
        <w:rPr>
          <w:rFonts w:eastAsia="Courier New" w:cs="Arial" w:ascii="Arial" w:hAnsi="Arial"/>
          <w:b/>
          <w:bCs/>
          <w:i w:val="false"/>
          <w:iCs w:val="false"/>
          <w:color w:val="000000"/>
          <w:kern w:val="2"/>
          <w:sz w:val="22"/>
          <w:szCs w:val="22"/>
          <w:shd w:fill="auto" w:val="clear"/>
          <w:lang w:val="pt-BR" w:eastAsia="zh-CN" w:bidi="ar-SA"/>
        </w:rPr>
        <w:t>CIENTES:</w:t>
      </w:r>
    </w:p>
    <w:p>
      <w:pPr>
        <w:pStyle w:val="Normal"/>
        <w:widowControl w:val="false"/>
        <w:jc w:val="left"/>
        <w:rPr>
          <w:rFonts w:ascii="Arial" w:hAnsi="Arial" w:eastAsia="Courier New" w:cs="Arial"/>
          <w:b/>
          <w:b/>
          <w:bCs/>
          <w:i w:val="false"/>
          <w:i w:val="false"/>
          <w:iCs w:val="false"/>
          <w:color w:val="000000"/>
          <w:kern w:val="2"/>
          <w:sz w:val="22"/>
          <w:szCs w:val="22"/>
          <w:shd w:fill="auto" w:val="clear"/>
          <w:lang w:val="pt-BR" w:eastAsia="zh-CN" w:bidi="ar-SA"/>
        </w:rPr>
      </w:pPr>
      <w:r>
        <w:rPr>
          <w:rFonts w:eastAsia="Courier New" w:cs="Arial" w:ascii="Arial" w:hAnsi="Arial"/>
          <w:b/>
          <w:bCs/>
          <w:i w:val="false"/>
          <w:iCs w:val="false"/>
          <w:color w:val="000000"/>
          <w:kern w:val="2"/>
          <w:sz w:val="22"/>
          <w:szCs w:val="22"/>
          <w:shd w:fill="auto" w:val="clear"/>
          <w:lang w:val="pt-BR" w:eastAsia="zh-CN" w:bidi="ar-SA"/>
        </w:rPr>
      </w:r>
    </w:p>
    <w:p>
      <w:pPr>
        <w:pStyle w:val="Normal"/>
        <w:widowControl w:val="false"/>
        <w:jc w:val="left"/>
        <w:rPr>
          <w:rFonts w:ascii="Arial" w:hAnsi="Arial" w:eastAsia="Courier New" w:cs="Arial"/>
          <w:b/>
          <w:b/>
          <w:bCs/>
          <w:i w:val="false"/>
          <w:i w:val="false"/>
          <w:iCs w:val="false"/>
          <w:color w:val="000000"/>
          <w:kern w:val="2"/>
          <w:sz w:val="22"/>
          <w:szCs w:val="22"/>
          <w:shd w:fill="auto" w:val="clear"/>
          <w:lang w:val="pt-BR" w:eastAsia="zh-CN" w:bidi="ar-SA"/>
        </w:rPr>
      </w:pPr>
      <w:r>
        <w:rPr>
          <w:rFonts w:eastAsia="Courier New" w:cs="Arial" w:ascii="Arial" w:hAnsi="Arial"/>
          <w:b/>
          <w:bCs/>
          <w:i w:val="false"/>
          <w:iCs w:val="false"/>
          <w:color w:val="000000"/>
          <w:kern w:val="2"/>
          <w:sz w:val="22"/>
          <w:szCs w:val="22"/>
          <w:shd w:fill="auto" w:val="clear"/>
          <w:lang w:val="pt-BR" w:eastAsia="zh-CN" w:bidi="ar-SA"/>
        </w:rPr>
      </w:r>
    </w:p>
    <w:p>
      <w:pPr>
        <w:pStyle w:val="Normal"/>
        <w:widowControl w:val="false"/>
        <w:spacing w:lineRule="auto" w:line="240"/>
        <w:rPr>
          <w:rFonts w:ascii="Arial" w:hAnsi="Arial"/>
          <w:sz w:val="22"/>
          <w:szCs w:val="22"/>
        </w:rPr>
      </w:pPr>
      <w:r>
        <w:rPr>
          <w:rFonts w:eastAsia="Courier New" w:cs="Arial" w:ascii="Arial" w:hAnsi="Arial"/>
          <w:b/>
          <w:bCs/>
          <w:color w:val="000000"/>
          <w:kern w:val="2"/>
          <w:sz w:val="22"/>
          <w:szCs w:val="22"/>
          <w:lang w:val="pt-BR" w:eastAsia="zh-CN" w:bidi="ar-SA"/>
        </w:rPr>
        <w:t>Gestor:</w:t>
      </w:r>
      <w:r>
        <w:rPr>
          <w:rFonts w:eastAsia="Courier New" w:cs="Arial" w:ascii="Arial" w:hAnsi="Arial"/>
          <w:b w:val="false"/>
          <w:bCs w:val="false"/>
          <w:color w:val="000000"/>
          <w:kern w:val="2"/>
          <w:sz w:val="22"/>
          <w:szCs w:val="22"/>
          <w:lang w:val="pt-BR" w:eastAsia="zh-CN" w:bidi="ar-SA"/>
        </w:rPr>
        <w:t xml:space="preserve"> ______________________________________________________________________</w:t>
      </w:r>
    </w:p>
    <w:p>
      <w:pPr>
        <w:pStyle w:val="Normal"/>
        <w:widowControl w:val="false"/>
        <w:spacing w:lineRule="auto" w:line="240"/>
        <w:rPr>
          <w:rFonts w:ascii="Arial" w:hAnsi="Arial" w:eastAsia="Courier New" w:cs="Arial"/>
          <w:b w:val="false"/>
          <w:b w:val="false"/>
          <w:bCs w:val="false"/>
          <w:color w:val="000000"/>
          <w:kern w:val="2"/>
          <w:sz w:val="22"/>
          <w:szCs w:val="22"/>
          <w:lang w:val="pt-BR" w:eastAsia="zh-CN" w:bidi="ar-SA"/>
        </w:rPr>
      </w:pPr>
      <w:r>
        <w:rPr>
          <w:rFonts w:eastAsia="Courier New" w:cs="Arial" w:ascii="Arial" w:hAnsi="Arial"/>
          <w:b w:val="false"/>
          <w:bCs w:val="false"/>
          <w:color w:val="000000"/>
          <w:kern w:val="2"/>
          <w:sz w:val="22"/>
          <w:szCs w:val="22"/>
          <w:lang w:val="pt-BR" w:eastAsia="zh-CN" w:bidi="ar-SA"/>
        </w:rPr>
      </w:r>
    </w:p>
    <w:p>
      <w:pPr>
        <w:pStyle w:val="Normal"/>
        <w:widowControl w:val="false"/>
        <w:spacing w:lineRule="auto" w:line="240"/>
        <w:rPr>
          <w:rFonts w:ascii="Arial" w:hAnsi="Arial"/>
          <w:sz w:val="22"/>
          <w:szCs w:val="22"/>
        </w:rPr>
      </w:pPr>
      <w:r>
        <w:rPr>
          <w:rFonts w:eastAsia="Courier New" w:cs="Arial" w:ascii="Arial" w:hAnsi="Arial"/>
          <w:b w:val="false"/>
          <w:bCs w:val="false"/>
          <w:color w:val="000000"/>
          <w:kern w:val="2"/>
          <w:sz w:val="22"/>
          <w:szCs w:val="22"/>
          <w:lang w:val="pt-BR" w:eastAsia="zh-CN" w:bidi="ar-SA"/>
        </w:rPr>
        <w:t>CPF: ___________________ Matrícula: _____________________</w:t>
      </w:r>
    </w:p>
    <w:p>
      <w:pPr>
        <w:pStyle w:val="Normal"/>
        <w:widowControl w:val="false"/>
        <w:spacing w:lineRule="auto" w:line="240"/>
        <w:rPr>
          <w:rFonts w:ascii="Arial" w:hAnsi="Arial" w:eastAsia="Courier New" w:cs="Arial"/>
          <w:b w:val="false"/>
          <w:b w:val="false"/>
          <w:bCs w:val="false"/>
          <w:color w:val="000000"/>
          <w:kern w:val="2"/>
          <w:sz w:val="22"/>
          <w:szCs w:val="22"/>
          <w:lang w:val="pt-BR" w:eastAsia="zh-CN" w:bidi="ar-SA"/>
        </w:rPr>
      </w:pPr>
      <w:r>
        <w:rPr>
          <w:rFonts w:eastAsia="Courier New" w:cs="Arial" w:ascii="Arial" w:hAnsi="Arial"/>
          <w:b w:val="false"/>
          <w:bCs w:val="false"/>
          <w:color w:val="000000"/>
          <w:kern w:val="2"/>
          <w:sz w:val="22"/>
          <w:szCs w:val="22"/>
          <w:lang w:val="pt-BR" w:eastAsia="zh-CN" w:bidi="ar-SA"/>
        </w:rPr>
      </w:r>
    </w:p>
    <w:p>
      <w:pPr>
        <w:pStyle w:val="Normal"/>
        <w:widowControl w:val="false"/>
        <w:spacing w:lineRule="auto" w:line="240"/>
        <w:rPr>
          <w:rFonts w:ascii="Arial" w:hAnsi="Arial"/>
          <w:sz w:val="22"/>
          <w:szCs w:val="22"/>
        </w:rPr>
      </w:pPr>
      <w:r>
        <w:rPr>
          <w:rFonts w:ascii="Arial" w:hAnsi="Arial"/>
          <w:sz w:val="22"/>
          <w:szCs w:val="22"/>
        </w:rPr>
      </w:r>
    </w:p>
    <w:p>
      <w:pPr>
        <w:pStyle w:val="Normal"/>
        <w:widowControl w:val="false"/>
        <w:spacing w:lineRule="auto" w:line="240"/>
        <w:rPr>
          <w:rFonts w:ascii="Arial" w:hAnsi="Arial"/>
          <w:sz w:val="22"/>
          <w:szCs w:val="22"/>
        </w:rPr>
      </w:pPr>
      <w:r>
        <w:rPr>
          <w:rFonts w:ascii="Arial" w:hAnsi="Arial"/>
          <w:sz w:val="22"/>
          <w:szCs w:val="22"/>
        </w:rPr>
      </w:r>
    </w:p>
    <w:p>
      <w:pPr>
        <w:pStyle w:val="Normal"/>
        <w:widowControl w:val="false"/>
        <w:spacing w:lineRule="auto" w:line="240"/>
        <w:rPr>
          <w:rFonts w:ascii="Arial" w:hAnsi="Arial"/>
          <w:sz w:val="22"/>
          <w:szCs w:val="22"/>
        </w:rPr>
      </w:pPr>
      <w:r>
        <w:rPr>
          <w:rFonts w:eastAsia="Courier New" w:cs="Arial" w:ascii="Arial" w:hAnsi="Arial"/>
          <w:b/>
          <w:bCs/>
          <w:color w:val="000000"/>
          <w:kern w:val="2"/>
          <w:sz w:val="22"/>
          <w:szCs w:val="22"/>
          <w:lang w:val="pt-BR" w:eastAsia="zh-CN" w:bidi="ar-SA"/>
        </w:rPr>
        <w:t>Fiscal Técnico:</w:t>
      </w:r>
      <w:r>
        <w:rPr>
          <w:rFonts w:eastAsia="Courier New" w:cs="Arial" w:ascii="Arial" w:hAnsi="Arial"/>
          <w:b w:val="false"/>
          <w:bCs w:val="false"/>
          <w:color w:val="000000"/>
          <w:kern w:val="2"/>
          <w:sz w:val="22"/>
          <w:szCs w:val="22"/>
          <w:lang w:val="pt-BR" w:eastAsia="zh-CN" w:bidi="ar-SA"/>
        </w:rPr>
        <w:t xml:space="preserve"> _______________________________________________________________</w:t>
      </w:r>
    </w:p>
    <w:p>
      <w:pPr>
        <w:pStyle w:val="Normal"/>
        <w:widowControl w:val="false"/>
        <w:spacing w:lineRule="auto" w:line="240"/>
        <w:rPr>
          <w:rFonts w:ascii="Arial" w:hAnsi="Arial" w:eastAsia="Courier New" w:cs="Arial"/>
          <w:b w:val="false"/>
          <w:b w:val="false"/>
          <w:bCs w:val="false"/>
          <w:color w:val="000000"/>
          <w:kern w:val="2"/>
          <w:sz w:val="22"/>
          <w:szCs w:val="22"/>
          <w:lang w:val="pt-BR" w:eastAsia="zh-CN" w:bidi="ar-SA"/>
        </w:rPr>
      </w:pPr>
      <w:r>
        <w:rPr>
          <w:rFonts w:eastAsia="Courier New" w:cs="Arial" w:ascii="Arial" w:hAnsi="Arial"/>
          <w:b w:val="false"/>
          <w:bCs w:val="false"/>
          <w:color w:val="000000"/>
          <w:kern w:val="2"/>
          <w:sz w:val="22"/>
          <w:szCs w:val="22"/>
          <w:lang w:val="pt-BR" w:eastAsia="zh-CN" w:bidi="ar-SA"/>
        </w:rPr>
      </w:r>
    </w:p>
    <w:p>
      <w:pPr>
        <w:pStyle w:val="Normal"/>
        <w:widowControl w:val="false"/>
        <w:spacing w:lineRule="auto" w:line="240"/>
        <w:rPr>
          <w:rFonts w:ascii="Arial" w:hAnsi="Arial"/>
          <w:sz w:val="22"/>
          <w:szCs w:val="22"/>
        </w:rPr>
      </w:pPr>
      <w:r>
        <w:rPr>
          <w:rFonts w:eastAsia="Courier New" w:cs="Arial" w:ascii="Arial" w:hAnsi="Arial"/>
          <w:b w:val="false"/>
          <w:bCs w:val="false"/>
          <w:color w:val="000000"/>
          <w:kern w:val="2"/>
          <w:sz w:val="22"/>
          <w:szCs w:val="22"/>
          <w:lang w:val="pt-BR" w:eastAsia="zh-CN" w:bidi="ar-SA"/>
        </w:rPr>
        <w:t>CREA/CAU Nº: __________________CPF: __________________ Matrícula: ______________</w:t>
      </w:r>
    </w:p>
    <w:p>
      <w:pPr>
        <w:pStyle w:val="Normal"/>
        <w:widowControl w:val="false"/>
        <w:spacing w:lineRule="auto" w:line="240"/>
        <w:rPr>
          <w:rFonts w:ascii="Arial" w:hAnsi="Arial" w:eastAsia="Courier New" w:cs="Arial"/>
          <w:b w:val="false"/>
          <w:b w:val="false"/>
          <w:bCs w:val="false"/>
          <w:color w:val="000000"/>
          <w:kern w:val="2"/>
          <w:sz w:val="22"/>
          <w:szCs w:val="22"/>
          <w:lang w:val="pt-BR" w:eastAsia="zh-CN" w:bidi="ar-SA"/>
        </w:rPr>
      </w:pPr>
      <w:r>
        <w:rPr>
          <w:rFonts w:eastAsia="Courier New" w:cs="Arial" w:ascii="Arial" w:hAnsi="Arial"/>
          <w:b w:val="false"/>
          <w:bCs w:val="false"/>
          <w:color w:val="000000"/>
          <w:kern w:val="2"/>
          <w:sz w:val="22"/>
          <w:szCs w:val="22"/>
          <w:lang w:val="pt-BR" w:eastAsia="zh-CN" w:bidi="ar-SA"/>
        </w:rPr>
      </w:r>
    </w:p>
    <w:p>
      <w:pPr>
        <w:pStyle w:val="Normal"/>
        <w:widowControl w:val="false"/>
        <w:spacing w:lineRule="auto" w:line="240"/>
        <w:rPr>
          <w:rFonts w:ascii="Arial" w:hAnsi="Arial" w:eastAsia="Courier New" w:cs="Arial"/>
          <w:b w:val="false"/>
          <w:b w:val="false"/>
          <w:bCs w:val="false"/>
          <w:color w:val="000000"/>
          <w:kern w:val="2"/>
          <w:sz w:val="22"/>
          <w:szCs w:val="22"/>
          <w:lang w:val="pt-BR" w:eastAsia="zh-CN" w:bidi="ar-SA"/>
        </w:rPr>
      </w:pPr>
      <w:r>
        <w:rPr>
          <w:rFonts w:eastAsia="Courier New" w:cs="Arial" w:ascii="Arial" w:hAnsi="Arial"/>
          <w:b w:val="false"/>
          <w:bCs w:val="false"/>
          <w:color w:val="000000"/>
          <w:kern w:val="2"/>
          <w:sz w:val="22"/>
          <w:szCs w:val="22"/>
          <w:lang w:val="pt-BR" w:eastAsia="zh-CN" w:bidi="ar-SA"/>
        </w:rPr>
      </w:r>
    </w:p>
    <w:p>
      <w:pPr>
        <w:pStyle w:val="Normal"/>
        <w:widowControl w:val="false"/>
        <w:spacing w:lineRule="auto" w:line="240"/>
        <w:rPr>
          <w:rFonts w:ascii="Arial" w:hAnsi="Arial" w:eastAsia="Courier New" w:cs="Arial"/>
          <w:b w:val="false"/>
          <w:b w:val="false"/>
          <w:bCs w:val="false"/>
          <w:color w:val="000000"/>
          <w:kern w:val="2"/>
          <w:sz w:val="22"/>
          <w:szCs w:val="22"/>
          <w:lang w:val="pt-BR" w:eastAsia="zh-CN" w:bidi="ar-SA"/>
        </w:rPr>
      </w:pPr>
      <w:r>
        <w:rPr>
          <w:rFonts w:eastAsia="Courier New" w:cs="Arial" w:ascii="Arial" w:hAnsi="Arial"/>
          <w:b w:val="false"/>
          <w:bCs w:val="false"/>
          <w:color w:val="000000"/>
          <w:kern w:val="2"/>
          <w:sz w:val="22"/>
          <w:szCs w:val="22"/>
          <w:lang w:val="pt-BR" w:eastAsia="zh-CN" w:bidi="ar-SA"/>
        </w:rPr>
      </w:r>
    </w:p>
    <w:p>
      <w:pPr>
        <w:pStyle w:val="Normal"/>
        <w:widowControl w:val="false"/>
        <w:spacing w:lineRule="auto" w:line="240"/>
        <w:rPr>
          <w:rFonts w:ascii="Arial" w:hAnsi="Arial"/>
          <w:sz w:val="22"/>
          <w:szCs w:val="22"/>
        </w:rPr>
      </w:pPr>
      <w:r>
        <w:rPr>
          <w:rFonts w:eastAsia="Courier New" w:cs="Arial" w:ascii="Arial" w:hAnsi="Arial"/>
          <w:b/>
          <w:bCs/>
          <w:color w:val="000000"/>
          <w:kern w:val="2"/>
          <w:sz w:val="22"/>
          <w:szCs w:val="22"/>
          <w:lang w:val="pt-BR" w:eastAsia="zh-CN" w:bidi="ar-SA"/>
        </w:rPr>
        <w:t>Fiscal Administrativo:</w:t>
      </w:r>
      <w:r>
        <w:rPr>
          <w:rFonts w:eastAsia="Courier New" w:cs="Arial" w:ascii="Arial" w:hAnsi="Arial"/>
          <w:b w:val="false"/>
          <w:bCs w:val="false"/>
          <w:color w:val="000000"/>
          <w:kern w:val="2"/>
          <w:sz w:val="22"/>
          <w:szCs w:val="22"/>
          <w:lang w:val="pt-BR" w:eastAsia="zh-CN" w:bidi="ar-SA"/>
        </w:rPr>
        <w:t xml:space="preserve"> _________________________________________________________</w:t>
      </w:r>
    </w:p>
    <w:p>
      <w:pPr>
        <w:pStyle w:val="Normal"/>
        <w:widowControl w:val="false"/>
        <w:spacing w:lineRule="auto" w:line="240"/>
        <w:rPr>
          <w:rFonts w:ascii="Arial" w:hAnsi="Arial" w:eastAsia="Courier New" w:cs="Arial"/>
          <w:b w:val="false"/>
          <w:b w:val="false"/>
          <w:bCs w:val="false"/>
          <w:color w:val="000000"/>
          <w:kern w:val="2"/>
          <w:sz w:val="22"/>
          <w:szCs w:val="22"/>
          <w:lang w:val="pt-BR" w:eastAsia="zh-CN" w:bidi="ar-SA"/>
        </w:rPr>
      </w:pPr>
      <w:r>
        <w:rPr>
          <w:rFonts w:eastAsia="Courier New" w:cs="Arial" w:ascii="Arial" w:hAnsi="Arial"/>
          <w:b w:val="false"/>
          <w:bCs w:val="false"/>
          <w:color w:val="000000"/>
          <w:kern w:val="2"/>
          <w:sz w:val="22"/>
          <w:szCs w:val="22"/>
          <w:lang w:val="pt-BR" w:eastAsia="zh-CN" w:bidi="ar-SA"/>
        </w:rPr>
      </w:r>
    </w:p>
    <w:p>
      <w:pPr>
        <w:pStyle w:val="Normal"/>
        <w:widowControl w:val="false"/>
        <w:spacing w:lineRule="auto" w:line="240"/>
        <w:rPr>
          <w:rFonts w:ascii="Arial" w:hAnsi="Arial"/>
          <w:sz w:val="22"/>
          <w:szCs w:val="22"/>
        </w:rPr>
      </w:pPr>
      <w:r>
        <w:rPr>
          <w:rFonts w:eastAsia="Courier New" w:cs="Arial" w:ascii="Arial" w:hAnsi="Arial"/>
          <w:b w:val="false"/>
          <w:bCs w:val="false"/>
          <w:color w:val="000000"/>
          <w:kern w:val="2"/>
          <w:sz w:val="22"/>
          <w:szCs w:val="22"/>
          <w:lang w:val="pt-BR" w:eastAsia="zh-CN" w:bidi="ar-SA"/>
        </w:rPr>
        <w:t>CPF: ___________________ Matrícula: _____________________</w:t>
      </w:r>
    </w:p>
    <w:p>
      <w:pPr>
        <w:pStyle w:val="Normal"/>
        <w:widowControl w:val="false"/>
        <w:spacing w:lineRule="auto" w:line="360"/>
        <w:rPr>
          <w:rFonts w:ascii="Arial" w:hAnsi="Arial" w:eastAsia="Courier New" w:cs="Arial"/>
          <w:b w:val="false"/>
          <w:b w:val="false"/>
          <w:bCs w:val="false"/>
          <w:color w:val="000000"/>
          <w:kern w:val="2"/>
          <w:sz w:val="22"/>
          <w:szCs w:val="22"/>
          <w:lang w:val="pt-BR" w:eastAsia="zh-CN" w:bidi="ar-SA"/>
        </w:rPr>
      </w:pPr>
      <w:r>
        <w:rPr>
          <w:rFonts w:eastAsia="Courier New" w:cs="Arial" w:ascii="Arial" w:hAnsi="Arial"/>
          <w:b w:val="false"/>
          <w:bCs w:val="false"/>
          <w:color w:val="000000"/>
          <w:kern w:val="2"/>
          <w:sz w:val="22"/>
          <w:szCs w:val="22"/>
          <w:lang w:val="pt-BR" w:eastAsia="zh-CN" w:bidi="ar-SA"/>
        </w:rPr>
      </w:r>
    </w:p>
    <w:p>
      <w:pPr>
        <w:pStyle w:val="Normal2"/>
        <w:bidi w:val="0"/>
        <w:jc w:val="right"/>
        <w:rPr>
          <w:rFonts w:ascii="Arial" w:hAnsi="Arial" w:eastAsia="Tahoma" w:cs="Arial"/>
          <w:b/>
          <w:b/>
          <w:bCs/>
          <w:i/>
          <w:i/>
          <w:iCs/>
          <w:color w:val="auto"/>
          <w:sz w:val="22"/>
          <w:szCs w:val="22"/>
        </w:rPr>
      </w:pPr>
      <w:r>
        <w:rPr>
          <w:rFonts w:eastAsia="Tahoma" w:cs="Arial"/>
          <w:b/>
          <w:bCs/>
          <w:i/>
          <w:iCs/>
          <w:color w:val="auto"/>
          <w:sz w:val="22"/>
          <w:szCs w:val="22"/>
        </w:rPr>
      </w:r>
    </w:p>
    <w:p>
      <w:pPr>
        <w:pStyle w:val="Normal2"/>
        <w:numPr>
          <w:ilvl w:val="0"/>
          <w:numId w:val="0"/>
        </w:numPr>
        <w:bidi w:val="0"/>
        <w:spacing w:lineRule="auto" w:line="312" w:before="120" w:after="288"/>
        <w:ind w:left="0" w:hanging="0"/>
        <w:jc w:val="right"/>
        <w:rPr>
          <w:sz w:val="22"/>
          <w:szCs w:val="22"/>
        </w:rPr>
      </w:pPr>
      <w:r>
        <w:rPr>
          <w:sz w:val="22"/>
          <w:szCs w:val="22"/>
        </w:rPr>
      </w:r>
    </w:p>
    <w:p>
      <w:pPr>
        <w:pStyle w:val="Normal2"/>
        <w:numPr>
          <w:ilvl w:val="0"/>
          <w:numId w:val="0"/>
        </w:numPr>
        <w:bidi w:val="0"/>
        <w:spacing w:lineRule="auto" w:line="312" w:before="120" w:after="288"/>
        <w:ind w:left="0" w:hanging="0"/>
        <w:jc w:val="right"/>
        <w:rPr>
          <w:sz w:val="22"/>
          <w:szCs w:val="22"/>
        </w:rPr>
      </w:pPr>
      <w:r>
        <w:rPr>
          <w:rFonts w:eastAsia="Tahoma" w:cs="Arial"/>
          <w:b/>
          <w:bCs/>
          <w:i/>
          <w:iCs/>
          <w:color w:val="000000"/>
          <w:sz w:val="22"/>
          <w:szCs w:val="22"/>
        </w:rPr>
        <w:t>Minuta do Contrato nº _____/2026</w:t>
      </w:r>
    </w:p>
    <w:sectPr>
      <w:headerReference w:type="default" r:id="rId10"/>
      <w:type w:val="nextPage"/>
      <w:pgSz w:w="11906" w:h="16838"/>
      <w:pgMar w:left="1134" w:right="1134" w:gutter="0" w:header="567" w:top="1276" w:footer="0"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Arial">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 w:name="Verdana">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pPr>
    <w:r>
      <w:drawing>
        <wp:anchor behindDoc="0" distT="0" distB="0" distL="0" distR="0" simplePos="0" locked="0" layoutInCell="0" allowOverlap="1" relativeHeight="21">
          <wp:simplePos x="0" y="0"/>
          <wp:positionH relativeFrom="column">
            <wp:posOffset>151130</wp:posOffset>
          </wp:positionH>
          <wp:positionV relativeFrom="paragraph">
            <wp:posOffset>-271780</wp:posOffset>
          </wp:positionV>
          <wp:extent cx="1042035" cy="1006475"/>
          <wp:effectExtent l="0" t="0" r="0" b="0"/>
          <wp:wrapSquare wrapText="largest"/>
          <wp:docPr id="5"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2" descr=""/>
                  <pic:cNvPicPr>
                    <a:picLocks noChangeAspect="1" noChangeArrowheads="1"/>
                  </pic:cNvPicPr>
                </pic:nvPicPr>
                <pic:blipFill>
                  <a:blip r:embed="rId1"/>
                  <a:srcRect l="-1660" t="-1445" r="-1660" b="-1445"/>
                  <a:stretch>
                    <a:fillRect/>
                  </a:stretch>
                </pic:blipFill>
                <pic:spPr bwMode="auto">
                  <a:xfrm>
                    <a:off x="0" y="0"/>
                    <a:ext cx="1042035" cy="1006475"/>
                  </a:xfrm>
                  <a:prstGeom prst="rect">
                    <a:avLst/>
                  </a:prstGeom>
                </pic:spPr>
              </pic:pic>
            </a:graphicData>
          </a:graphic>
        </wp:anchor>
      </w:drawing>
    </w:r>
    <w:r>
      <w:rPr>
        <w:rFonts w:cs="Verdana" w:ascii="Verdana" w:hAnsi="Verdana"/>
        <w:sz w:val="14"/>
      </w:rPr>
      <w:t>República Federativa do Brasil – Estado do Rio de Janeiro</w:t>
    </w:r>
  </w:p>
  <w:p>
    <w:pPr>
      <w:pStyle w:val="Cabealho"/>
      <w:jc w:val="center"/>
      <w:rPr>
        <w:rFonts w:ascii="Verdana" w:hAnsi="Verdana" w:cs="Verdana"/>
        <w:sz w:val="14"/>
      </w:rPr>
    </w:pPr>
    <w:r>
      <w:rPr>
        <w:rFonts w:cs="Verdana" w:ascii="Verdana" w:hAnsi="Verdana"/>
        <w:b/>
        <w:bCs/>
        <w:sz w:val="18"/>
      </w:rPr>
      <w:t>PREFEITURA MUNICIPAL DE QUISSAMÃ</w:t>
    </w:r>
  </w:p>
  <w:p>
    <w:pPr>
      <w:pStyle w:val="Cabealho"/>
      <w:jc w:val="center"/>
      <w:rPr>
        <w:rFonts w:ascii="Verdana" w:hAnsi="Verdana" w:cs="Verdana"/>
        <w:sz w:val="14"/>
      </w:rPr>
    </w:pPr>
    <w:r>
      <w:rPr>
        <w:rFonts w:cs="Verdana" w:ascii="Verdana" w:hAnsi="Verdana"/>
        <w:sz w:val="14"/>
      </w:rPr>
      <w:t>Rua Conde de Araruama, 425 – Centro – Quissamã – RJ</w:t>
    </w:r>
  </w:p>
  <w:p>
    <w:pPr>
      <w:pStyle w:val="Cabealho"/>
      <w:jc w:val="center"/>
      <w:rPr>
        <w:rFonts w:ascii="Verdana" w:hAnsi="Verdana" w:cs="Verdana"/>
        <w:sz w:val="14"/>
      </w:rPr>
    </w:pPr>
    <w:r>
      <w:rPr>
        <w:rFonts w:cs="Verdana" w:ascii="Verdana" w:hAnsi="Verdana"/>
        <w:sz w:val="14"/>
      </w:rPr>
    </w:r>
  </w:p>
  <w:p>
    <w:pPr>
      <w:pStyle w:val="Cabealho"/>
      <w:jc w:val="center"/>
      <w:rPr>
        <w:rFonts w:ascii="Verdana" w:hAnsi="Verdana" w:cs="Verdana"/>
        <w:sz w:val="14"/>
      </w:rPr>
    </w:pPr>
    <w:r>
      <w:rPr>
        <w:rFonts w:cs="Verdana" w:ascii="Verdana" w:hAnsi="Verdana"/>
        <w:sz w:val="14"/>
      </w:rPr>
    </w:r>
  </w:p>
  <w:p>
    <w:pPr>
      <w:pStyle w:val="Cabealho"/>
      <w:jc w:val="center"/>
      <w:rPr>
        <w:rFonts w:ascii="Verdana" w:hAnsi="Verdana" w:cs="Verdana"/>
        <w:sz w:val="14"/>
      </w:rPr>
    </w:pPr>
    <w:r>
      <w:rPr>
        <w:rFonts w:cs="Verdana" w:ascii="Verdana" w:hAnsi="Verdana"/>
        <w:sz w:val="14"/>
      </w:rPr>
    </w:r>
  </w:p>
  <w:p>
    <w:pPr>
      <w:pStyle w:val="Cabealho"/>
      <w:jc w:val="center"/>
      <w:rPr>
        <w:rFonts w:ascii="Verdana" w:hAnsi="Verdana" w:cs="Verdana"/>
        <w:sz w:val="14"/>
      </w:rPr>
    </w:pPr>
    <w:r>
      <w:rPr>
        <w:rFonts w:cs="Verdana" w:ascii="Verdana" w:hAnsi="Verdana"/>
        <w:sz w:val="14"/>
      </w:rPr>
    </w:r>
  </w:p>
  <w:p>
    <w:pPr>
      <w:pStyle w:val="Cabealho"/>
      <w:jc w:val="center"/>
      <w:rPr>
        <w:rFonts w:ascii="Verdana" w:hAnsi="Verdana" w:cs="Verdana"/>
        <w:sz w:val="14"/>
      </w:rPr>
    </w:pPr>
    <w:r>
      <w:rPr>
        <w:rFonts w:cs="Verdana" w:ascii="Verdana" w:hAnsi="Verdana"/>
        <w:sz w:val="14"/>
      </w:rPr>
    </w:r>
  </w:p>
  <w:p>
    <w:pPr>
      <w:pStyle w:val="Cabealho"/>
      <w:jc w:val="center"/>
      <w:rPr>
        <w:rFonts w:ascii="Verdana" w:hAnsi="Verdana" w:cs="Verdana"/>
        <w:sz w:val="14"/>
      </w:rPr>
    </w:pPr>
    <w:r>
      <w:rPr>
        <w:rFonts w:cs="Verdana" w:ascii="Verdana" w:hAnsi="Verdana"/>
        <w:sz w:val="1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2"/>
        <w:b/>
        <w:rFonts w:ascii="Arial" w:hAnsi="Arial"/>
      </w:rPr>
    </w:lvl>
    <w:lvl w:ilvl="1">
      <w:start w:val="1"/>
      <w:numFmt w:val="decimal"/>
      <w:lvlText w:val="%1.%2."/>
      <w:lvlJc w:val="left"/>
      <w:pPr>
        <w:tabs>
          <w:tab w:val="num" w:pos="0"/>
        </w:tabs>
        <w:ind w:left="4969" w:hanging="432"/>
      </w:pPr>
      <w:rPr>
        <w:dstrike w:val="false"/>
        <w:strike w:val="false"/>
        <w:sz w:val="20"/>
        <w:i w:val="false"/>
        <w:u w:val="none"/>
        <w:b/>
        <w:szCs w:val="20"/>
        <w:color w:val="auto"/>
      </w:rPr>
    </w:lvl>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mirrorMargins/>
  <w:defaultTabStop w:val="708"/>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qFormat/>
    <w:pPr>
      <w:spacing w:before="240" w:after="60"/>
    </w:pPr>
    <w:rPr>
      <w:rFonts w:ascii="Arial" w:hAnsi="Arial" w:eastAsia="Arial" w:cs="Arial"/>
      <w:b/>
      <w:sz w:val="32"/>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ce025d"/>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ce025d"/>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ce025d"/>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ce025d"/>
    <w:rPr>
      <w:rFonts w:ascii="Arial" w:hAnsi="Arial" w:cs="Arial"/>
      <w:color w:val="000000"/>
      <w:lang w:eastAsia="pt-BR"/>
    </w:rPr>
  </w:style>
  <w:style w:type="character" w:styleId="Nvel3RChar" w:customStyle="1">
    <w:name w:val="Nível 3-R Char"/>
    <w:basedOn w:val="Nivel3Char"/>
    <w:qFormat/>
    <w:rsid w:val="00d42afb"/>
    <w:rPr>
      <w:rFonts w:ascii="Arial" w:hAnsi="Arial" w:cs="Arial"/>
      <w:i/>
      <w:iCs/>
      <w:color w:val="FF0000"/>
      <w:lang w:eastAsia="pt-BR"/>
    </w:rPr>
  </w:style>
  <w:style w:type="character" w:styleId="Nvel4RChar" w:customStyle="1">
    <w:name w:val="Nível 4-R Char"/>
    <w:basedOn w:val="Nivel4Char"/>
    <w:qFormat/>
    <w:rsid w:val="009766b8"/>
    <w:rPr>
      <w:rFonts w:ascii="Arial" w:hAnsi="Arial" w:cs="Arial"/>
      <w:i/>
      <w:iCs/>
      <w:color w:val="FF0000"/>
      <w:lang w:eastAsia="pt-BR"/>
    </w:rPr>
  </w:style>
  <w:style w:type="character" w:styleId="Nvel1SemNumChar" w:customStyle="1">
    <w:name w:val="Nível 1-Sem Num Char"/>
    <w:basedOn w:val="Nivel01Char"/>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UnresolvedMention">
    <w:name w:val="Unresolved Mention"/>
    <w:basedOn w:val="DefaultParagraphFont"/>
    <w:uiPriority w:val="99"/>
    <w:semiHidden/>
    <w:unhideWhenUsed/>
    <w:qFormat/>
    <w:rsid w:val="000f33a0"/>
    <w:rPr>
      <w:color w:val="605E5C"/>
      <w:shd w:fill="E1DFDD" w:val="clear"/>
    </w:rPr>
  </w:style>
  <w:style w:type="character" w:styleId="Fontepargpadro1">
    <w:name w:val="Fonte parág. padrão1"/>
    <w:qFormat/>
    <w:rPr/>
  </w:style>
  <w:style w:type="character" w:styleId="Fontepargpadro">
    <w:name w:val="Fonte parág. padrão"/>
    <w:qFormat/>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ce025d"/>
    <w:p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ce025d"/>
    <w:pPr>
      <w:numPr>
        <w:ilvl w:val="0"/>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ce025d"/>
    <w:pPr>
      <w:numPr>
        <w:ilvl w:val="0"/>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ce025d"/>
    <w:pPr>
      <w:ind w:left="567" w:hanging="0"/>
    </w:pPr>
    <w:rPr>
      <w:color w:val="auto"/>
    </w:rPr>
  </w:style>
  <w:style w:type="paragraph" w:styleId="Nivel5" w:customStyle="1">
    <w:name w:val="Nivel 5"/>
    <w:basedOn w:val="Nivel4"/>
    <w:qFormat/>
    <w:rsid w:val="00ce025d"/>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f83142"/>
    <w:pPr/>
    <w:rPr>
      <w:i/>
      <w:iCs/>
      <w:color w:val="FF0000"/>
    </w:rPr>
  </w:style>
  <w:style w:type="paragraph" w:styleId="Nvel3R" w:customStyle="1">
    <w:name w:val="Nível 3-R"/>
    <w:basedOn w:val="Nivel3"/>
    <w:qFormat/>
    <w:rsid w:val="00d42afb"/>
    <w:pPr/>
    <w:rPr>
      <w:i/>
      <w:iCs/>
      <w:color w:val="FF0000"/>
    </w:rPr>
  </w:style>
  <w:style w:type="paragraph" w:styleId="Nvel4R" w:customStyle="1">
    <w:name w:val="Nível 4-R"/>
    <w:basedOn w:val="Nivel4"/>
    <w:qFormat/>
    <w:rsid w:val="009766b8"/>
    <w:pPr/>
    <w:rPr>
      <w:i/>
      <w:iCs/>
      <w:color w:val="FF0000"/>
    </w:rPr>
  </w:style>
  <w:style w:type="paragraph" w:styleId="Nvel1SemNum" w:customStyle="1">
    <w:name w:val="Nível 1-Sem Num"/>
    <w:basedOn w:val="Nivel01"/>
    <w:qFormat/>
    <w:rsid w:val="00e7273b"/>
    <w:pPr>
      <w:ind w:left="357" w:hanging="0"/>
      <w:outlineLvl w:val="1"/>
    </w:pPr>
    <w:rPr>
      <w:color w:val="FF0000"/>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Contedodatabela">
    <w:name w:val="Conteúdo da tabela"/>
    <w:basedOn w:val="Normal"/>
    <w:qFormat/>
    <w:pPr>
      <w:suppressLineNumbers/>
    </w:pPr>
    <w:rPr/>
  </w:style>
  <w:style w:type="paragraph" w:styleId="Normal2">
    <w:name w:val="[Normal]"/>
    <w:qFormat/>
    <w:pPr>
      <w:widowControl w:val="false"/>
      <w:suppressAutoHyphens w:val="true"/>
      <w:bidi w:val="0"/>
      <w:spacing w:before="0" w:after="0"/>
      <w:jc w:val="left"/>
    </w:pPr>
    <w:rPr>
      <w:rFonts w:ascii="Arial" w:hAnsi="Arial" w:eastAsia="Arial" w:cs="Arial"/>
      <w:b w:val="false"/>
      <w:i w:val="false"/>
      <w:strike w:val="false"/>
      <w:dstrike w:val="false"/>
      <w:color w:val="000000"/>
      <w:kern w:val="0"/>
      <w:position w:val="0"/>
      <w:sz w:val="24"/>
      <w:sz w:val="24"/>
      <w:szCs w:val="20"/>
      <w:u w:val="none"/>
      <w:shd w:fill="auto" w:val="clear"/>
      <w:vertAlign w:val="baseline"/>
      <w:lang w:val="pt-BR" w:eastAsia="zh-CN" w:bidi="ar-SA"/>
    </w:rPr>
  </w:style>
  <w:style w:type="paragraph" w:styleId="Xl28">
    <w:name w:val="xl28"/>
    <w:basedOn w:val="Normal"/>
    <w:qFormat/>
    <w:pPr>
      <w:spacing w:before="100" w:after="100"/>
      <w:jc w:val="center"/>
    </w:pPr>
    <w:rPr>
      <w:rFonts w:ascii="Arial" w:hAnsi="Arial" w:eastAsia="Arial Unicode MS" w:cs="Arial"/>
      <w:b/>
      <w:bCs/>
      <w:sz w:val="22"/>
      <w:szCs w:val="22"/>
      <w:lang w:val="pt-BR"/>
    </w:rPr>
  </w:style>
  <w:style w:type="paragraph" w:styleId="Corpodetexto3">
    <w:name w:val="Corpo de texto 3"/>
    <w:basedOn w:val="Normal"/>
    <w:qFormat/>
    <w:pPr>
      <w:jc w:val="both"/>
    </w:pPr>
    <w:rPr>
      <w:rFonts w:ascii="Arial" w:hAnsi="Arial" w:cs="Arial"/>
      <w:color w:val="FF0000"/>
      <w:sz w:val="22"/>
    </w:rPr>
  </w:style>
  <w:style w:type="paragraph" w:styleId="Contedodoquadro">
    <w:name w:val="Conteúdo do quadro"/>
    <w:basedOn w:val="Normal"/>
    <w:qFormat/>
    <w:pPr/>
    <w:rPr/>
  </w:style>
  <w:style w:type="paragraph" w:styleId="Ttulodetabela">
    <w:name w:val="Título de tabela"/>
    <w:basedOn w:val="Contedodatabela"/>
    <w:qFormat/>
    <w:pPr>
      <w:suppressLineNumbers/>
      <w:jc w:val="center"/>
    </w:pPr>
    <w:rPr>
      <w:b/>
      <w:bCs/>
    </w:rPr>
  </w:style>
  <w:style w:type="paragraph" w:styleId="LOnormal">
    <w:name w:val="LO-normal"/>
    <w:qFormat/>
    <w:pPr>
      <w:widowControl/>
      <w:suppressAutoHyphens w:val="true"/>
      <w:bidi w:val="0"/>
      <w:spacing w:lineRule="auto" w:line="259" w:before="0" w:after="160"/>
      <w:jc w:val="left"/>
    </w:pPr>
    <w:rPr>
      <w:rFonts w:ascii="Calibri" w:hAnsi="Calibri" w:eastAsia="Calibri" w:cs="Calibri"/>
      <w:color w:val="auto"/>
      <w:kern w:val="0"/>
      <w:sz w:val="22"/>
      <w:szCs w:val="22"/>
      <w:lang w:val="pt-BR" w:eastAsia="zh-CN" w:bidi="hi-IN"/>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8078compilado.htm" TargetMode="External"/><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s://www.planalto.gov.br/ccivil_03/_ato2011-2014/2013/lei/l12846.htm" TargetMode="External"/><Relationship Id="rId6" Type="http://schemas.openxmlformats.org/officeDocument/2006/relationships/hyperlink" Target="https://ceiscadastro.cgu.gov.br/index.aspx?ReturnUrl=%2F" TargetMode="External"/><Relationship Id="rId7"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leis/l8078compilado.htm" TargetMode="External"/><Relationship Id="rId10" Type="http://schemas.openxmlformats.org/officeDocument/2006/relationships/header" Target="header1.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customXml" Target="../customXml/item2.xml"/><Relationship Id="rId17" Type="http://schemas.openxmlformats.org/officeDocument/2006/relationships/customXml" Target="../customXml/item3.xml"/><Relationship Id="rId18"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5B1301-9B57-4BD1-A61B-CC6FD3BC74DB}"/>
</file>

<file path=customXml/itemProps2.xml><?xml version="1.0" encoding="utf-8"?>
<ds:datastoreItem xmlns:ds="http://schemas.openxmlformats.org/officeDocument/2006/customXml" ds:itemID="{C8801C90-2123-4036-BA0D-763A0F3B6815}"/>
</file>

<file path=customXml/itemProps3.xml><?xml version="1.0" encoding="utf-8"?>
<ds:datastoreItem xmlns:ds="http://schemas.openxmlformats.org/officeDocument/2006/customXml" ds:itemID="{67788E7A-17E2-43FE-B3A0-35346DCC54B4}">
  <ds:schemaRefs>
    <ds:schemaRef ds:uri="http://schemas.openxmlformats.org/officeDocument/2006/bibliography"/>
  </ds:schemaRefs>
</ds:datastoreItem>
</file>

<file path=customXml/itemProps4.xml><?xml version="1.0" encoding="utf-8"?>
<ds:datastoreItem xmlns:ds="http://schemas.openxmlformats.org/officeDocument/2006/customXml" ds:itemID="{80332257-54E8-4A1B-9722-CA3F36D72472}"/>
</file>

<file path=docProps/app.xml><?xml version="1.0" encoding="utf-8"?>
<Properties xmlns="http://schemas.openxmlformats.org/officeDocument/2006/extended-properties" xmlns:vt="http://schemas.openxmlformats.org/officeDocument/2006/docPropsVTypes">
  <Template>Normal.dotm</Template>
  <TotalTime>1046</TotalTime>
  <Application>LibreOffice/7.4.2.3$Windows_X86_64 LibreOffice_project/382eef1f22670f7f4118c8c2dd222ec7ad009daf</Application>
  <AppVersion>15.0000</AppVersion>
  <Pages>20</Pages>
  <Words>5648</Words>
  <Characters>32446</Characters>
  <CharactersWithSpaces>37892</CharactersWithSpaces>
  <Paragraphs>251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2023-05-20T12:26:00Z</dcterms:created>
  <dc:creator/>
  <dc:description/>
  <dc:language>pt-BR</dc:language>
  <cp:lastModifiedBy/>
  <cp:lastPrinted>2026-06-01T16:10:18Z</cp:lastPrinted>
  <dcterms:modified xsi:type="dcterms:W3CDTF">2026-06-01T16:11:30Z</dcterms:modified>
  <cp:revision>64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